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3GPP TSG RAN Meeting #</w:t>
      </w:r>
      <w:r>
        <w:rPr>
          <w:rFonts w:hint="eastAsia" w:ascii="Arial" w:hAnsi="Arial" w:cs="Arial"/>
          <w:b/>
          <w:bCs/>
          <w:sz w:val="22"/>
          <w:szCs w:val="22"/>
        </w:rPr>
        <w:t>1</w:t>
      </w:r>
      <w:r>
        <w:rPr>
          <w:rFonts w:ascii="Arial" w:hAnsi="Arial" w:cs="Arial"/>
          <w:b/>
          <w:bCs/>
          <w:sz w:val="22"/>
          <w:szCs w:val="22"/>
          <w:lang w:eastAsia="ja-JP"/>
        </w:rPr>
        <w:tab/>
      </w:r>
      <w:r>
        <w:rPr>
          <w:rFonts w:hint="eastAsia" w:ascii="Arial" w:hAnsi="Arial" w:cs="Arial"/>
          <w:b/>
          <w:bCs/>
          <w:sz w:val="22"/>
          <w:szCs w:val="22"/>
        </w:rPr>
        <w:t>08</w:t>
      </w:r>
      <w:r>
        <w:rPr>
          <w:rFonts w:ascii="Arial" w:hAnsi="Arial" w:cs="Arial"/>
          <w:b/>
          <w:bCs/>
          <w:sz w:val="22"/>
          <w:szCs w:val="22"/>
          <w:lang w:eastAsia="ja-JP"/>
        </w:rPr>
        <w:t xml:space="preserve">                                       </w:t>
      </w:r>
      <w:r>
        <w:rPr>
          <w:rFonts w:hint="eastAsia" w:ascii="Arial" w:hAnsi="Arial" w:cs="Arial"/>
          <w:b/>
          <w:bCs/>
          <w:sz w:val="22"/>
          <w:szCs w:val="22"/>
          <w:lang w:eastAsia="ja-JP"/>
        </w:rPr>
        <w:t xml:space="preserve">  </w:t>
      </w:r>
      <w:r>
        <w:rPr>
          <w:rFonts w:ascii="Arial" w:hAnsi="Arial" w:cs="Arial"/>
          <w:b/>
          <w:bCs/>
          <w:sz w:val="22"/>
          <w:szCs w:val="22"/>
          <w:lang w:eastAsia="ja-JP"/>
        </w:rPr>
        <w:t xml:space="preserve"> </w:t>
      </w:r>
      <w:r>
        <w:rPr>
          <w:rFonts w:hint="eastAsia" w:ascii="Arial" w:hAnsi="Arial" w:cs="Arial"/>
          <w:b/>
          <w:bCs/>
          <w:sz w:val="22"/>
          <w:szCs w:val="22"/>
          <w:lang w:eastAsia="ja-JP"/>
        </w:rPr>
        <w:t xml:space="preserve">      RP-251721</w:t>
      </w:r>
    </w:p>
    <w:p>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Prague, Czech Republic, June 9-13, 2025</w:t>
      </w:r>
    </w:p>
    <w:p>
      <w:pPr>
        <w:tabs>
          <w:tab w:val="center" w:pos="4536"/>
          <w:tab w:val="right" w:pos="9072"/>
        </w:tabs>
        <w:spacing w:before="120" w:after="0" w:afterLines="0" w:line="260" w:lineRule="auto"/>
        <w:rPr>
          <w:rFonts w:ascii="Arial" w:hAnsi="Arial" w:cs="Arial"/>
          <w:b/>
          <w:bCs/>
          <w:sz w:val="22"/>
          <w:szCs w:val="22"/>
        </w:rPr>
      </w:pPr>
    </w:p>
    <w:p>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Views on Ambient IoT enhancement in 5G-A Rel-20</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Corporation,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15.1.3</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pStyle w:val="21"/>
        <w:spacing w:before="120" w:beforeLines="0" w:beforeAutospacing="0" w:after="120" w:afterLines="0" w:afterAutospacing="0" w:line="240" w:lineRule="auto"/>
        <w:jc w:val="both"/>
        <w:rPr>
          <w:color w:val="000000"/>
          <w:sz w:val="20"/>
        </w:rPr>
      </w:pPr>
      <w:r>
        <w:rPr>
          <w:color w:val="000000"/>
          <w:sz w:val="20"/>
        </w:rPr>
        <w:t>In RAN</w:t>
      </w:r>
      <w:r>
        <w:rPr>
          <w:rFonts w:hint="eastAsia"/>
          <w:color w:val="000000"/>
          <w:sz w:val="20"/>
        </w:rPr>
        <w:t>#106 meeting, the way forward [1] for Ambient IoT in Rel-19 WI and Rel-20 work plan were approved. In RAN#107 meeting, Rel-20 scope were further discussed and the conclusion can be found in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120" w:afterLines="0" w:line="240" w:lineRule="auto"/>
              <w:ind w:right="-96"/>
              <w:rPr>
                <w:sz w:val="20"/>
                <w:u w:val="single"/>
              </w:rPr>
            </w:pPr>
            <w:r>
              <w:rPr>
                <w:sz w:val="20"/>
                <w:u w:val="single"/>
                <w:lang w:eastAsia="ja-JP"/>
              </w:rPr>
              <w:t>General Scope</w:t>
            </w:r>
            <w:r>
              <w:rPr>
                <w:rFonts w:hint="eastAsia"/>
                <w:sz w:val="20"/>
                <w:u w:val="single"/>
              </w:rPr>
              <w:t xml:space="preserve"> for Rel-19 WI in RP-243280</w:t>
            </w:r>
          </w:p>
          <w:p>
            <w:pPr>
              <w:spacing w:beforeLines="0" w:after="120" w:afterLines="0" w:line="240" w:lineRule="auto"/>
              <w:ind w:right="-96"/>
              <w:rPr>
                <w:sz w:val="20"/>
                <w:lang w:eastAsia="ja-JP"/>
              </w:rPr>
            </w:pPr>
            <w:r>
              <w:rPr>
                <w:sz w:val="20"/>
                <w:lang w:eastAsia="ja-JP"/>
              </w:rPr>
              <w:t>The definitions provided in TR 38.848, TR 38.769, and decisions, etc. made during the Rel-19 SI in RAN WGs are taken into this WI, and the following is the exclusive general scope:</w:t>
            </w:r>
          </w:p>
          <w:p>
            <w:pPr>
              <w:numPr>
                <w:ilvl w:val="0"/>
                <w:numId w:val="7"/>
              </w:numPr>
              <w:spacing w:beforeLines="0" w:after="120" w:afterLines="0" w:line="240" w:lineRule="auto"/>
              <w:ind w:right="-96"/>
              <w:rPr>
                <w:sz w:val="20"/>
                <w:lang w:eastAsia="ja-JP"/>
              </w:rPr>
            </w:pPr>
            <w:r>
              <w:rPr>
                <w:sz w:val="20"/>
                <w:lang w:eastAsia="ja-JP"/>
              </w:rPr>
              <w:t xml:space="preserve">The overall objective shall be to standardize the following </w:t>
            </w:r>
            <w:r>
              <w:rPr>
                <w:rFonts w:hint="eastAsia"/>
                <w:sz w:val="20"/>
              </w:rPr>
              <w:t>A-IoT</w:t>
            </w:r>
            <w:r>
              <w:rPr>
                <w:sz w:val="20"/>
                <w:lang w:eastAsia="ja-JP"/>
              </w:rPr>
              <w:t xml:space="preserve"> device:</w:t>
            </w:r>
          </w:p>
          <w:p>
            <w:pPr>
              <w:spacing w:beforeLines="0" w:after="120" w:afterLines="0" w:line="240" w:lineRule="auto"/>
              <w:ind w:left="720" w:right="-96"/>
              <w:rPr>
                <w:sz w:val="20"/>
                <w:lang w:eastAsia="ja-JP"/>
              </w:rPr>
            </w:pPr>
            <w:r>
              <w:rPr>
                <w:sz w:val="20"/>
                <w:lang w:eastAsia="ja-JP"/>
              </w:rPr>
              <w:t xml:space="preserve">Device 1: ~1 </w:t>
            </w:r>
            <w:r>
              <w:rPr>
                <w:i/>
                <w:iCs/>
                <w:sz w:val="20"/>
                <w:lang w:eastAsia="ja-JP"/>
              </w:rPr>
              <w:t>µ</w:t>
            </w:r>
            <w:r>
              <w:rPr>
                <w:sz w:val="20"/>
                <w:lang w:eastAsia="ja-JP"/>
              </w:rPr>
              <w:t>W peak power consumption, has energy storage, RF envelope detector receiver, initial sampling frequency offset (SFO) up to 10</w:t>
            </w:r>
            <w:r>
              <w:rPr>
                <w:i/>
                <w:iCs/>
                <w:sz w:val="20"/>
                <w:vertAlign w:val="superscript"/>
                <w:lang w:eastAsia="ja-JP"/>
              </w:rPr>
              <w:t>X</w:t>
            </w:r>
            <w:r>
              <w:rPr>
                <w:sz w:val="20"/>
                <w:lang w:eastAsia="ja-JP"/>
              </w:rPr>
              <w:t xml:space="preserve"> ppm, neither R2D nor D2R amplification in the device. The device’s D2R transmission is backscattered on a carrier wave provided externally.</w:t>
            </w:r>
          </w:p>
          <w:p>
            <w:pPr>
              <w:numPr>
                <w:ilvl w:val="0"/>
                <w:numId w:val="7"/>
              </w:numPr>
              <w:spacing w:beforeLines="0" w:after="120" w:afterLines="0" w:line="240" w:lineRule="auto"/>
              <w:rPr>
                <w:sz w:val="20"/>
              </w:rPr>
            </w:pPr>
            <w:bookmarkStart w:id="0" w:name="_Hlk160560296"/>
            <w:r>
              <w:rPr>
                <w:sz w:val="20"/>
              </w:rPr>
              <w:t xml:space="preserve">Deployment scenario 1 with Topology 1, according to D1T1-B. </w:t>
            </w:r>
          </w:p>
          <w:bookmarkEnd w:id="0"/>
          <w:p>
            <w:pPr>
              <w:numPr>
                <w:ilvl w:val="0"/>
                <w:numId w:val="7"/>
              </w:numPr>
              <w:spacing w:beforeLines="0" w:after="120" w:afterLines="0" w:line="240" w:lineRule="auto"/>
              <w:ind w:right="-96"/>
              <w:rPr>
                <w:sz w:val="20"/>
                <w:lang w:eastAsia="ja-JP"/>
              </w:rPr>
            </w:pPr>
            <w:r>
              <w:rPr>
                <w:sz w:val="20"/>
                <w:lang w:eastAsia="ja-JP"/>
              </w:rPr>
              <w:t>FR1 licensed spectrum in FDD, with R2D in DL spectrum and D2R and CW in UL spectrum.</w:t>
            </w:r>
          </w:p>
          <w:p>
            <w:pPr>
              <w:numPr>
                <w:ilvl w:val="0"/>
                <w:numId w:val="7"/>
              </w:numPr>
              <w:spacing w:beforeLines="0" w:after="120" w:afterLines="0" w:line="240" w:lineRule="auto"/>
              <w:ind w:right="-96"/>
              <w:rPr>
                <w:sz w:val="20"/>
                <w:lang w:eastAsia="ja-JP"/>
              </w:rPr>
            </w:pPr>
            <w:r>
              <w:rPr>
                <w:sz w:val="20"/>
                <w:lang w:eastAsia="ja-JP"/>
              </w:rPr>
              <w:t>Spectrum deployment in-band to NR and standalone, with A-IoT BS located indoor.</w:t>
            </w:r>
          </w:p>
          <w:p>
            <w:pPr>
              <w:numPr>
                <w:ilvl w:val="0"/>
                <w:numId w:val="7"/>
              </w:numPr>
              <w:spacing w:beforeLines="0" w:after="120" w:afterLines="0" w:line="240" w:lineRule="auto"/>
              <w:ind w:right="-96"/>
              <w:rPr>
                <w:sz w:val="20"/>
                <w:lang w:eastAsia="ja-JP"/>
              </w:rPr>
            </w:pPr>
            <w:r>
              <w:rPr>
                <w:sz w:val="20"/>
                <w:lang w:eastAsia="ja-JP"/>
              </w:rPr>
              <w:t>Traffic types DO-DTT, DT, for rUC1 (indoor inventory) and rUC4 (indoor command).</w:t>
            </w:r>
            <w:r>
              <w:rPr>
                <w:sz w:val="20"/>
              </w:rPr>
              <w:t xml:space="preserve"> </w:t>
            </w:r>
          </w:p>
          <w:p>
            <w:pPr>
              <w:numPr>
                <w:ilvl w:val="0"/>
                <w:numId w:val="7"/>
              </w:numPr>
              <w:spacing w:beforeLines="0" w:after="120" w:afterLines="0" w:line="240" w:lineRule="auto"/>
              <w:ind w:right="-96"/>
              <w:rPr>
                <w:sz w:val="20"/>
              </w:rPr>
            </w:pPr>
            <w:r>
              <w:rPr>
                <w:sz w:val="20"/>
                <w:lang w:eastAsia="ja-JP"/>
              </w:rPr>
              <w:t>Carrier wave transmission for waveform 1 only, without hopping, per the following cases in TR 38.769:</w:t>
            </w:r>
          </w:p>
          <w:p>
            <w:pPr>
              <w:numPr>
                <w:ilvl w:val="1"/>
                <w:numId w:val="8"/>
              </w:numPr>
              <w:adjustRightInd w:val="0"/>
              <w:snapToGrid w:val="0"/>
              <w:spacing w:beforeLines="0" w:after="120" w:afterLines="0" w:line="240" w:lineRule="auto"/>
              <w:ind w:left="1446" w:hanging="363"/>
              <w:rPr>
                <w:rFonts w:eastAsia="等线"/>
                <w:bCs/>
                <w:iCs/>
                <w:sz w:val="20"/>
              </w:rPr>
            </w:pPr>
            <w:r>
              <w:rPr>
                <w:rFonts w:eastAsia="等线"/>
                <w:bCs/>
                <w:iCs/>
                <w:sz w:val="20"/>
                <w:lang w:eastAsia="ja-JP"/>
              </w:rPr>
              <w:t>Case 1-4 for D1T1-B</w:t>
            </w:r>
          </w:p>
          <w:p>
            <w:pPr>
              <w:numPr>
                <w:ilvl w:val="0"/>
                <w:numId w:val="7"/>
              </w:numPr>
              <w:spacing w:beforeLines="0" w:after="120" w:afterLines="0" w:line="240" w:lineRule="auto"/>
              <w:rPr>
                <w:sz w:val="20"/>
              </w:rPr>
            </w:pPr>
            <w:r>
              <w:rPr>
                <w:sz w:val="20"/>
                <w:lang w:eastAsia="ja-JP"/>
              </w:rPr>
              <w:t>Proximity determination via Solution 1 in TR 38.769 only.</w:t>
            </w:r>
          </w:p>
          <w:p>
            <w:pPr>
              <w:numPr>
                <w:ilvl w:val="0"/>
                <w:numId w:val="7"/>
              </w:numPr>
              <w:spacing w:beforeLines="0" w:after="120" w:afterLines="0" w:line="240" w:lineRule="auto"/>
              <w:rPr>
                <w:sz w:val="20"/>
              </w:rPr>
            </w:pPr>
            <w:r>
              <w:rPr>
                <w:sz w:val="20"/>
              </w:rPr>
              <w:t>Device (un)availability via Direction 1 in TR 38.769 only.</w:t>
            </w:r>
          </w:p>
          <w:p>
            <w:pPr>
              <w:pStyle w:val="21"/>
              <w:spacing w:before="120" w:beforeLines="0" w:beforeAutospacing="0" w:after="120" w:afterLines="0" w:afterAutospacing="0" w:line="240" w:lineRule="auto"/>
              <w:jc w:val="both"/>
              <w:rPr>
                <w:color w:val="000000"/>
                <w:sz w:val="20"/>
                <w:u w:val="single"/>
              </w:rPr>
            </w:pPr>
            <w:r>
              <w:rPr>
                <w:rFonts w:hint="eastAsia"/>
                <w:color w:val="000000"/>
                <w:sz w:val="20"/>
                <w:u w:val="single"/>
              </w:rPr>
              <w:t xml:space="preserve">Work plan for Rel-20 </w:t>
            </w:r>
            <w:r>
              <w:rPr>
                <w:rFonts w:hint="eastAsia"/>
                <w:sz w:val="20"/>
                <w:u w:val="single"/>
              </w:rPr>
              <w:t>in RP-243280</w:t>
            </w:r>
          </w:p>
          <w:p>
            <w:pPr>
              <w:pStyle w:val="21"/>
              <w:numPr>
                <w:ilvl w:val="0"/>
                <w:numId w:val="9"/>
              </w:numPr>
              <w:spacing w:before="120" w:beforeLines="0" w:beforeAutospacing="0" w:after="120" w:afterLines="0" w:afterAutospacing="0" w:line="240" w:lineRule="auto"/>
              <w:jc w:val="both"/>
              <w:rPr>
                <w:color w:val="000000"/>
                <w:sz w:val="20"/>
              </w:rPr>
            </w:pPr>
            <w:r>
              <w:rPr>
                <w:color w:val="000000"/>
                <w:sz w:val="20"/>
              </w:rPr>
              <w:t>Includes D2T2</w:t>
            </w:r>
          </w:p>
          <w:p>
            <w:pPr>
              <w:pStyle w:val="21"/>
              <w:numPr>
                <w:ilvl w:val="0"/>
                <w:numId w:val="9"/>
              </w:numPr>
              <w:spacing w:before="120" w:beforeLines="0" w:beforeAutospacing="0" w:after="120" w:afterLines="0" w:afterAutospacing="0" w:line="240" w:lineRule="auto"/>
              <w:jc w:val="both"/>
              <w:rPr>
                <w:color w:val="000000"/>
                <w:sz w:val="20"/>
              </w:rPr>
            </w:pPr>
            <w:r>
              <w:rPr>
                <w:color w:val="000000"/>
                <w:sz w:val="20"/>
              </w:rPr>
              <w:t>Includes Device 2</w:t>
            </w:r>
          </w:p>
          <w:p>
            <w:pPr>
              <w:pStyle w:val="21"/>
              <w:numPr>
                <w:ilvl w:val="0"/>
                <w:numId w:val="9"/>
              </w:numPr>
              <w:spacing w:before="120" w:beforeLines="0" w:beforeAutospacing="0" w:after="120" w:afterLines="0" w:afterAutospacing="0" w:line="240" w:lineRule="auto"/>
              <w:jc w:val="both"/>
              <w:rPr>
                <w:color w:val="000000"/>
                <w:sz w:val="20"/>
              </w:rPr>
            </w:pPr>
            <w:r>
              <w:rPr>
                <w:color w:val="000000"/>
                <w:sz w:val="20"/>
              </w:rPr>
              <w:t>A limited number of additional use cases, deployments, connectivity topologies, devices, traffic types in TR38.848 as a starting point</w:t>
            </w:r>
          </w:p>
          <w:p>
            <w:pPr>
              <w:pStyle w:val="21"/>
              <w:numPr>
                <w:ilvl w:val="0"/>
                <w:numId w:val="9"/>
              </w:numPr>
              <w:spacing w:before="120" w:beforeLines="0" w:beforeAutospacing="0" w:after="120" w:afterLines="0" w:afterAutospacing="0" w:line="240" w:lineRule="auto"/>
              <w:jc w:val="both"/>
              <w:rPr>
                <w:color w:val="000000"/>
                <w:sz w:val="20"/>
              </w:rPr>
            </w:pPr>
            <w:r>
              <w:rPr>
                <w:color w:val="000000"/>
                <w:sz w:val="20"/>
              </w:rPr>
              <w:t>Note: work on D2T2, device 2 shall follow the Rel-19 study conclusions, and further down-selection of architecture options for topology 2 may be needed. For indoor use cases, deviations from Rel-19 study conclusion shall be well justified and agreed.</w:t>
            </w:r>
          </w:p>
          <w:p>
            <w:pPr>
              <w:pStyle w:val="21"/>
              <w:numPr>
                <w:ilvl w:val="0"/>
                <w:numId w:val="9"/>
              </w:numPr>
              <w:spacing w:before="120" w:beforeLines="0" w:beforeAutospacing="0" w:after="120" w:afterLines="0" w:afterAutospacing="0" w:line="240" w:lineRule="auto"/>
              <w:jc w:val="both"/>
              <w:rPr>
                <w:color w:val="000000"/>
                <w:sz w:val="20"/>
              </w:rPr>
            </w:pPr>
            <w:r>
              <w:rPr>
                <w:color w:val="000000"/>
                <w:sz w:val="20"/>
              </w:rPr>
              <w:t>Details to be discussed at a later RAN plenary meeting, including the need for study phase.</w:t>
            </w:r>
          </w:p>
          <w:p>
            <w:pPr>
              <w:pStyle w:val="21"/>
              <w:spacing w:before="120" w:beforeLines="0" w:beforeAutospacing="0" w:after="120" w:afterLines="0" w:afterAutospacing="0" w:line="240" w:lineRule="auto"/>
              <w:jc w:val="both"/>
              <w:rPr>
                <w:color w:val="000000"/>
                <w:sz w:val="20"/>
                <w:u w:val="single"/>
              </w:rPr>
            </w:pPr>
            <w:r>
              <w:rPr>
                <w:rFonts w:hint="eastAsia"/>
                <w:color w:val="000000"/>
                <w:sz w:val="20"/>
                <w:u w:val="single"/>
              </w:rPr>
              <w:t xml:space="preserve">Moderator observations and recommendations in </w:t>
            </w:r>
            <w:r>
              <w:rPr>
                <w:rFonts w:hint="eastAsia"/>
                <w:sz w:val="20"/>
                <w:u w:val="single"/>
              </w:rPr>
              <w:t>RP-250802</w:t>
            </w:r>
          </w:p>
          <w:p>
            <w:pPr>
              <w:pStyle w:val="21"/>
              <w:numPr>
                <w:ilvl w:val="0"/>
                <w:numId w:val="9"/>
              </w:numPr>
              <w:spacing w:before="120" w:beforeLines="0" w:beforeAutospacing="0" w:after="120" w:afterLines="0" w:afterAutospacing="0" w:line="240" w:lineRule="auto"/>
              <w:jc w:val="both"/>
              <w:rPr>
                <w:color w:val="000000"/>
                <w:sz w:val="20"/>
                <w:lang w:eastAsia="ko-KR"/>
              </w:rPr>
            </w:pPr>
            <w:r>
              <w:rPr>
                <w:color w:val="000000"/>
                <w:sz w:val="20"/>
                <w:lang w:eastAsia="ko-KR"/>
              </w:rPr>
              <w:t>Device 1 in D2T2</w:t>
            </w:r>
          </w:p>
          <w:p>
            <w:pPr>
              <w:pStyle w:val="21"/>
              <w:numPr>
                <w:ilvl w:val="0"/>
                <w:numId w:val="9"/>
              </w:numPr>
              <w:spacing w:before="120" w:beforeLines="0" w:beforeAutospacing="0" w:after="120" w:afterLines="0" w:afterAutospacing="0" w:line="240" w:lineRule="auto"/>
              <w:jc w:val="both"/>
              <w:rPr>
                <w:color w:val="000000"/>
                <w:sz w:val="20"/>
                <w:lang w:eastAsia="ko-KR"/>
              </w:rPr>
            </w:pPr>
            <w:r>
              <w:rPr>
                <w:color w:val="000000"/>
                <w:sz w:val="20"/>
                <w:lang w:eastAsia="ko-KR"/>
              </w:rPr>
              <w:t>Device 2b in D1T1 and D2T2</w:t>
            </w:r>
          </w:p>
          <w:p>
            <w:pPr>
              <w:pStyle w:val="21"/>
              <w:numPr>
                <w:ilvl w:val="0"/>
                <w:numId w:val="9"/>
              </w:numPr>
              <w:spacing w:before="120" w:beforeLines="0" w:beforeAutospacing="0" w:after="120" w:afterLines="0" w:afterAutospacing="0" w:line="240" w:lineRule="auto"/>
              <w:jc w:val="both"/>
              <w:rPr>
                <w:color w:val="000000"/>
                <w:sz w:val="20"/>
                <w:lang w:eastAsia="ko-KR"/>
              </w:rPr>
            </w:pPr>
            <w:r>
              <w:rPr>
                <w:color w:val="000000"/>
                <w:sz w:val="20"/>
                <w:lang w:eastAsia="ko-KR"/>
              </w:rPr>
              <w:t>Study on A-IoT for outdoor scenarios</w:t>
            </w:r>
          </w:p>
          <w:p>
            <w:pPr>
              <w:pStyle w:val="21"/>
              <w:numPr>
                <w:ilvl w:val="0"/>
                <w:numId w:val="9"/>
              </w:numPr>
              <w:spacing w:before="120" w:beforeLines="0" w:beforeAutospacing="0" w:after="120" w:afterLines="0" w:afterAutospacing="0" w:line="240" w:lineRule="auto"/>
              <w:jc w:val="both"/>
              <w:rPr>
                <w:color w:val="000000"/>
                <w:sz w:val="20"/>
                <w:lang w:eastAsia="ko-KR"/>
              </w:rPr>
            </w:pPr>
            <w:r>
              <w:rPr>
                <w:color w:val="000000"/>
                <w:sz w:val="20"/>
                <w:lang w:eastAsia="ko-KR"/>
              </w:rPr>
              <w:t>Further discuss other aspects of Rel-20 A-IoT (e.g. DO-A traffic, unavailability direction 2) in RAN#108</w:t>
            </w:r>
          </w:p>
          <w:p>
            <w:pPr>
              <w:pStyle w:val="21"/>
              <w:numPr>
                <w:ilvl w:val="0"/>
                <w:numId w:val="9"/>
              </w:numPr>
              <w:spacing w:before="120" w:beforeLines="0" w:beforeAutospacing="0" w:after="120" w:afterLines="0" w:afterAutospacing="0" w:line="240" w:lineRule="auto"/>
              <w:jc w:val="both"/>
              <w:rPr>
                <w:color w:val="000000"/>
                <w:sz w:val="20"/>
              </w:rPr>
            </w:pPr>
            <w:r>
              <w:rPr>
                <w:color w:val="000000"/>
                <w:sz w:val="20"/>
                <w:lang w:eastAsia="ko-KR"/>
              </w:rPr>
              <w:t>[3~3.5] TUs in RAN1 and [2] TUs in RAN2 for Release 20 5G-Adv A-IoT</w:t>
            </w:r>
          </w:p>
        </w:tc>
      </w:tr>
    </w:tbl>
    <w:p>
      <w:pPr>
        <w:pStyle w:val="21"/>
        <w:spacing w:before="120" w:beforeLines="0" w:beforeAutospacing="0" w:after="120" w:afterLines="0" w:afterAutospacing="0" w:line="240" w:lineRule="auto"/>
        <w:jc w:val="both"/>
        <w:rPr>
          <w:color w:val="000000"/>
          <w:sz w:val="20"/>
        </w:rPr>
      </w:pPr>
    </w:p>
    <w:p>
      <w:pPr>
        <w:pStyle w:val="21"/>
        <w:spacing w:before="120" w:beforeLines="0" w:beforeAutospacing="0" w:after="120" w:afterLines="0" w:afterAutospacing="0" w:line="240" w:lineRule="auto"/>
        <w:jc w:val="both"/>
        <w:rPr>
          <w:color w:val="000000"/>
          <w:sz w:val="20"/>
        </w:rPr>
      </w:pPr>
      <w:r>
        <w:rPr>
          <w:rFonts w:hint="eastAsia"/>
          <w:color w:val="000000"/>
          <w:sz w:val="20"/>
        </w:rPr>
        <w:t xml:space="preserve">In this contribution, the potential enhancements for Rel-20 A-IoT are discussed. </w:t>
      </w:r>
    </w:p>
    <w:p>
      <w:pPr>
        <w:pStyle w:val="2"/>
        <w:spacing w:before="120" w:after="120"/>
        <w:ind w:left="0"/>
        <w:rPr>
          <w:rFonts w:eastAsia="宋体"/>
        </w:rPr>
      </w:pPr>
      <w:r>
        <w:rPr>
          <w:rFonts w:hint="eastAsia" w:eastAsia="宋体"/>
        </w:rPr>
        <w:t>Discussion</w:t>
      </w:r>
    </w:p>
    <w:p>
      <w:pPr>
        <w:pStyle w:val="3"/>
        <w:spacing w:before="120" w:after="120"/>
        <w:ind w:right="210"/>
        <w:rPr>
          <w:b/>
          <w:bCs/>
        </w:rPr>
      </w:pPr>
      <w:r>
        <w:rPr>
          <w:rFonts w:hint="eastAsia"/>
          <w:b/>
          <w:bCs/>
        </w:rPr>
        <w:t>2.1 Outdoor scenario</w:t>
      </w:r>
    </w:p>
    <w:p>
      <w:pPr>
        <w:pStyle w:val="4"/>
        <w:spacing w:after="120"/>
        <w:ind w:right="210"/>
        <w:rPr>
          <w:b/>
          <w:bCs/>
        </w:rPr>
      </w:pPr>
      <w:r>
        <w:rPr>
          <w:rFonts w:hint="eastAsia"/>
          <w:b/>
          <w:bCs/>
        </w:rPr>
        <w:t>Use case</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According to RAN studies, eight representative use cases (rUCs) have been formulated for A-IoT. The mapping between SA1 use cases and traffic scenarios to these RAN rUCs is captured in Table 4.1.1-1 of TR38.848 [3]. Since Rel-19 A-IoT focuses on indoor scenarios, a significant number of representative use cases listed in Table 1 haven</w:t>
      </w:r>
      <w:r>
        <w:rPr>
          <w:b w:val="0"/>
          <w:bCs w:val="0"/>
          <w:i w:val="0"/>
          <w:iCs w:val="0"/>
          <w:lang w:val="en-US" w:eastAsia="zh-CN"/>
        </w:rPr>
        <w:t>’</w:t>
      </w:r>
      <w:r>
        <w:rPr>
          <w:rFonts w:hint="eastAsia"/>
          <w:b w:val="0"/>
          <w:bCs w:val="0"/>
          <w:i w:val="0"/>
          <w:iCs w:val="0"/>
          <w:lang w:val="en-US" w:eastAsia="zh-CN"/>
        </w:rPr>
        <w:t>t yet been addressed. Extending A-IoT from indoor to outdoor scenarios is crucial for improving operational efficiency and reducing maintenance costs in applications such as automated supply chain management, logistics, and smart grids, etc. Moreover, the combination of A-IoT with extremely low cost/complexity with wide-area coverage will provide a compelling advantage over other technologies with limited coverage and narrower use cases.</w:t>
      </w:r>
    </w:p>
    <w:p>
      <w:pPr>
        <w:pStyle w:val="63"/>
        <w:numPr>
          <w:ilvl w:val="0"/>
          <w:numId w:val="0"/>
        </w:numPr>
        <w:spacing w:beforeLines="0" w:after="120" w:afterLines="0" w:line="240" w:lineRule="auto"/>
        <w:jc w:val="center"/>
        <w:rPr>
          <w:b w:val="0"/>
          <w:bCs w:val="0"/>
          <w:i w:val="0"/>
          <w:iCs w:val="0"/>
          <w:lang w:val="en-US" w:eastAsia="zh-CN"/>
        </w:rPr>
      </w:pPr>
      <w:r>
        <w:rPr>
          <w:rFonts w:hint="eastAsia"/>
          <w:b w:val="0"/>
          <w:bCs w:val="0"/>
          <w:i w:val="0"/>
          <w:iCs w:val="0"/>
          <w:lang w:val="en-US" w:eastAsia="zh-CN"/>
        </w:rPr>
        <w:t>Table 1 Outdoor use cases for A-IoT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7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53" w:type="dxa"/>
            <w:vAlign w:val="center"/>
          </w:tcPr>
          <w:p>
            <w:pPr>
              <w:pStyle w:val="21"/>
              <w:spacing w:before="120" w:after="120"/>
              <w:rPr>
                <w:sz w:val="20"/>
              </w:rPr>
            </w:pPr>
            <w:r>
              <w:rPr>
                <w:sz w:val="20"/>
              </w:rPr>
              <w:t>Representative use case (rUC)</w:t>
            </w:r>
          </w:p>
        </w:tc>
        <w:tc>
          <w:tcPr>
            <w:tcW w:w="7023" w:type="dxa"/>
            <w:vAlign w:val="center"/>
          </w:tcPr>
          <w:p>
            <w:pPr>
              <w:pStyle w:val="21"/>
              <w:spacing w:before="120" w:after="120"/>
              <w:rPr>
                <w:sz w:val="20"/>
              </w:rPr>
            </w:pPr>
            <w:r>
              <w:rPr>
                <w:sz w:val="20"/>
              </w:rPr>
              <w:t>Applicable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53" w:type="dxa"/>
            <w:vAlign w:val="center"/>
          </w:tcPr>
          <w:p>
            <w:pPr>
              <w:pStyle w:val="21"/>
              <w:spacing w:before="120" w:after="120"/>
              <w:rPr>
                <w:sz w:val="20"/>
              </w:rPr>
            </w:pPr>
            <w:r>
              <w:rPr>
                <w:sz w:val="20"/>
              </w:rPr>
              <w:t>rUC5: Outdoor inventory</w:t>
            </w:r>
          </w:p>
        </w:tc>
        <w:tc>
          <w:tcPr>
            <w:tcW w:w="7023" w:type="dxa"/>
            <w:vAlign w:val="center"/>
          </w:tcPr>
          <w:p>
            <w:pPr>
              <w:pStyle w:val="21"/>
              <w:spacing w:before="120" w:after="120"/>
              <w:rPr>
                <w:sz w:val="20"/>
              </w:rPr>
            </w:pPr>
            <w:r>
              <w:rPr>
                <w:sz w:val="20"/>
              </w:rPr>
              <w:t>Airport terminal / shipping port, automated supply chain distribution,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53" w:type="dxa"/>
            <w:vAlign w:val="center"/>
          </w:tcPr>
          <w:p>
            <w:pPr>
              <w:pStyle w:val="21"/>
              <w:spacing w:before="120" w:after="120"/>
              <w:rPr>
                <w:sz w:val="20"/>
              </w:rPr>
            </w:pPr>
            <w:r>
              <w:rPr>
                <w:sz w:val="20"/>
              </w:rPr>
              <w:t>rUC6: Outdoor sensor</w:t>
            </w:r>
          </w:p>
        </w:tc>
        <w:tc>
          <w:tcPr>
            <w:tcW w:w="7023" w:type="dxa"/>
            <w:vAlign w:val="center"/>
          </w:tcPr>
          <w:p>
            <w:pPr>
              <w:pStyle w:val="21"/>
              <w:spacing w:before="120" w:after="120"/>
              <w:rPr>
                <w:sz w:val="20"/>
              </w:rPr>
            </w:pPr>
            <w:r>
              <w:rPr>
                <w:sz w:val="20"/>
              </w:rPr>
              <w:t>Smart grids, forest fire monitoring, dairy farming,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53" w:type="dxa"/>
            <w:vAlign w:val="center"/>
          </w:tcPr>
          <w:p>
            <w:pPr>
              <w:pStyle w:val="21"/>
              <w:spacing w:before="120" w:after="120"/>
              <w:rPr>
                <w:sz w:val="20"/>
              </w:rPr>
            </w:pPr>
            <w:r>
              <w:rPr>
                <w:sz w:val="20"/>
              </w:rPr>
              <w:t>rUC7: Outdoor positioning</w:t>
            </w:r>
          </w:p>
        </w:tc>
        <w:tc>
          <w:tcPr>
            <w:tcW w:w="7023" w:type="dxa"/>
            <w:vAlign w:val="center"/>
          </w:tcPr>
          <w:p>
            <w:pPr>
              <w:pStyle w:val="21"/>
              <w:spacing w:before="120" w:after="120"/>
              <w:rPr>
                <w:sz w:val="20"/>
              </w:rPr>
            </w:pPr>
            <w:r>
              <w:rPr>
                <w:rFonts w:hint="eastAsia"/>
                <w:sz w:val="20"/>
              </w:rPr>
              <w:t>F</w:t>
            </w:r>
            <w:r>
              <w:rPr>
                <w:sz w:val="20"/>
              </w:rPr>
              <w:t>inding remote lost item, location service,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53" w:type="dxa"/>
            <w:vAlign w:val="center"/>
          </w:tcPr>
          <w:p>
            <w:pPr>
              <w:pStyle w:val="21"/>
              <w:spacing w:before="120" w:after="120"/>
              <w:rPr>
                <w:sz w:val="20"/>
              </w:rPr>
            </w:pPr>
            <w:r>
              <w:rPr>
                <w:sz w:val="20"/>
              </w:rPr>
              <w:t>rUC8: Outdoor command</w:t>
            </w:r>
          </w:p>
        </w:tc>
        <w:tc>
          <w:tcPr>
            <w:tcW w:w="7023" w:type="dxa"/>
            <w:vAlign w:val="center"/>
          </w:tcPr>
          <w:p>
            <w:pPr>
              <w:pStyle w:val="21"/>
              <w:spacing w:before="120" w:after="120"/>
              <w:rPr>
                <w:sz w:val="20"/>
              </w:rPr>
            </w:pPr>
            <w:r>
              <w:rPr>
                <w:sz w:val="20"/>
              </w:rPr>
              <w:t>Device activation and deactivation, elderly health care, etc.</w:t>
            </w:r>
          </w:p>
        </w:tc>
      </w:tr>
    </w:tbl>
    <w:p>
      <w:pPr>
        <w:pStyle w:val="63"/>
        <w:numPr>
          <w:ilvl w:val="0"/>
          <w:numId w:val="0"/>
        </w:numPr>
        <w:spacing w:beforeLines="0" w:after="120" w:afterLines="0" w:line="240" w:lineRule="auto"/>
        <w:jc w:val="both"/>
        <w:rPr>
          <w:b w:val="0"/>
          <w:bCs w:val="0"/>
          <w:i w:val="0"/>
          <w:iCs w:val="0"/>
          <w:lang w:val="en-US" w:eastAsia="zh-CN"/>
        </w:rPr>
      </w:pP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While indoor inventory/command were studied and specified in Rel-19, it is straightforward to extend them to outdoor scenario with necessary enhancements.</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A-IoT sensors can support to report real-time monitoring, such as temperature, humidity, which requires devices to autonomously initiate D2R transmission (i.e.,DO-A traffic) with larger message sizes. However, due to the limited TUs, DO-A traffic was deprioritized in Rel-19. To support these use cases effectively, DO-A needs to be considered in Rel-20.</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rPr>
        <w:t>Additionally,</w:t>
      </w:r>
      <w:r>
        <w:rPr>
          <w:rFonts w:hint="eastAsia"/>
          <w:b w:val="0"/>
          <w:bCs w:val="0"/>
          <w:i w:val="0"/>
          <w:iCs w:val="0"/>
          <w:lang w:val="en-US" w:eastAsia="zh-CN"/>
        </w:rPr>
        <w:t xml:space="preserve"> the design target of positioning has been provided in TR38.848, but the locating introduced in Rel-19 is limited to reader ID granularity. For topology 1 with wide area coverage in outdoor, positioning can be left to BS reader implementation. For topology 2 with limited coverage, locating with reader ID granularity may be sufficient. Therefore, positioning enhancements can be deprioritized in Rel-20.</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In summary, inventory, sensors and command should be considered for A-IoT outdoor scenarios in Rel-20.</w:t>
      </w:r>
    </w:p>
    <w:p>
      <w:pPr>
        <w:pStyle w:val="63"/>
        <w:numPr>
          <w:ilvl w:val="0"/>
          <w:numId w:val="10"/>
        </w:numPr>
        <w:spacing w:before="120" w:beforeLines="0" w:after="120" w:afterLines="0" w:line="240" w:lineRule="auto"/>
        <w:jc w:val="both"/>
        <w:rPr>
          <w:rFonts w:ascii="Arial" w:hAnsi="Arial" w:cs="Arial"/>
        </w:rPr>
      </w:pPr>
      <w:r>
        <w:rPr>
          <w:rFonts w:hint="eastAsia"/>
          <w:lang w:val="en-US" w:eastAsia="zh-CN"/>
        </w:rPr>
        <w:t>Support outdoor inventory/command/sensor for Rel-20 A-IoT.</w:t>
      </w:r>
    </w:p>
    <w:p>
      <w:pPr>
        <w:pStyle w:val="63"/>
        <w:numPr>
          <w:ilvl w:val="0"/>
          <w:numId w:val="0"/>
        </w:numPr>
        <w:spacing w:before="120" w:beforeLines="0" w:after="120" w:afterLines="0" w:line="240" w:lineRule="auto"/>
        <w:jc w:val="both"/>
        <w:rPr>
          <w:rFonts w:ascii="Arial" w:hAnsi="Arial" w:cs="Arial"/>
        </w:rPr>
      </w:pPr>
    </w:p>
    <w:p>
      <w:pPr>
        <w:pStyle w:val="4"/>
        <w:spacing w:after="120"/>
        <w:ind w:right="210"/>
        <w:rPr>
          <w:b/>
          <w:bCs/>
        </w:rPr>
      </w:pPr>
      <w:r>
        <w:rPr>
          <w:rFonts w:hint="eastAsia"/>
          <w:b/>
          <w:bCs/>
        </w:rPr>
        <w:t>Requirements</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In Rel-19 A-IoT RAN WG SI, three device types, device 1, 2a and 2b, were analyzed. The peak power consumption is assumed to be several micro watts for device 1, and up to hundreds of micro watts for device 2. The basic blocks of device architectures based on RF-ED receivers for devices 1, 2a, and 2b have been defined, as well as those for receiver architectures based on IF-ED or ZIF for device 2b. Furthermore, Device C, studied in the Rel-18 RAN SI, is characterized by higher power consumption, ranging from 1 mW to 10 mW.</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To extend A-IoT use cases to outdoor environments, coexistence with NR and achieving comparable coverage are essential. Devices with varying peak power consumption, complexity, and capability are designed to meet diverse application requirements. Therefore, it is important to identify which device types are best suited for outdoor scenarios.</w:t>
      </w:r>
    </w:p>
    <w:p>
      <w:pPr>
        <w:pStyle w:val="60"/>
        <w:spacing w:beforeLines="0" w:after="120" w:afterLines="0" w:line="240" w:lineRule="auto"/>
        <w:jc w:val="both"/>
        <w:rPr>
          <w:lang w:val="en-US" w:eastAsia="zh-CN"/>
        </w:rPr>
      </w:pPr>
      <w:r>
        <w:rPr>
          <w:rFonts w:hint="eastAsia"/>
          <w:lang w:val="en-US" w:eastAsia="zh-CN"/>
        </w:rPr>
        <w:t>Co-existence with NR and providing similar coverage as NR are critical to extend the A-IoT use cases to outdoor.</w:t>
      </w:r>
    </w:p>
    <w:p>
      <w:pPr>
        <w:spacing w:before="120" w:after="120"/>
      </w:pPr>
      <w:r>
        <w:rPr>
          <w:rFonts w:hint="eastAsia"/>
          <w:b/>
          <w:bCs/>
          <w:u w:val="single"/>
        </w:rPr>
        <w:t>Co-existence</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 xml:space="preserve">Based on the evaluation of indoor scenarios in Rel-19, co-existence between A-IoT and NR is feasible when NR UEs are not deployed indoors alongside A-IoT devices. But if NR UEs are present indoors along with A-IoT devices, the interference caused by their co-existence will result in obvious NR capacity reduction and/or A-IoT SINR performance degradation. Therefore, A-IoT and NR systems should be operated with indoor/outdoor separation or to adopt other techniques to mitigate interference. For outdoor scenarios, the interference between macro cells and devices becomes more serious, leading to significant performance degradation in R2D link or NR. Solutions to enable better co-existence between A-IoT and NR are needed. For example, narrower RF filters can help A-IoT devices filter out unwanted frequency-domain signals, device without CW can resolve the CW interference issues, thereby improving overall performance. </w:t>
      </w:r>
    </w:p>
    <w:p>
      <w:pPr>
        <w:pStyle w:val="63"/>
        <w:numPr>
          <w:ilvl w:val="0"/>
          <w:numId w:val="10"/>
        </w:numPr>
        <w:spacing w:before="120" w:beforeLines="0" w:after="120" w:afterLines="0" w:line="240" w:lineRule="auto"/>
        <w:jc w:val="both"/>
        <w:rPr>
          <w:lang w:val="en-US" w:eastAsia="zh-CN"/>
        </w:rPr>
      </w:pPr>
      <w:r>
        <w:rPr>
          <w:rFonts w:hint="eastAsia"/>
          <w:lang w:val="en-US" w:eastAsia="zh-CN"/>
        </w:rPr>
        <w:t>Solutions to enable better co-existence between A-IoT and NR need to be considered for outdoor scenarios.</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In Rel-19 WI, only device 1 was supported for A-IoT. The maximum coverage of device 1 is up to tens of meters, which doesn</w:t>
      </w:r>
      <w:r>
        <w:rPr>
          <w:b w:val="0"/>
          <w:bCs w:val="0"/>
          <w:i w:val="0"/>
          <w:iCs w:val="0"/>
          <w:lang w:val="en-US" w:eastAsia="zh-CN"/>
        </w:rPr>
        <w:t>’</w:t>
      </w:r>
      <w:r>
        <w:rPr>
          <w:rFonts w:hint="eastAsia"/>
          <w:b w:val="0"/>
          <w:bCs w:val="0"/>
          <w:i w:val="0"/>
          <w:iCs w:val="0"/>
          <w:lang w:val="en-US" w:eastAsia="zh-CN"/>
        </w:rPr>
        <w:t>t meet outdoor coverage requirements. Thus, device 1 cannot be supported for outdoor deployment.</w:t>
      </w:r>
    </w:p>
    <w:p>
      <w:pPr>
        <w:pStyle w:val="63"/>
        <w:numPr>
          <w:ilvl w:val="0"/>
          <w:numId w:val="0"/>
        </w:numPr>
        <w:spacing w:beforeLines="0" w:after="120" w:afterLines="0" w:line="240" w:lineRule="auto"/>
        <w:jc w:val="both"/>
        <w:rPr>
          <w:b w:val="0"/>
          <w:bCs w:val="0"/>
          <w:i w:val="0"/>
          <w:iCs w:val="0"/>
          <w:lang w:val="en-US" w:eastAsia="zh-CN"/>
        </w:rPr>
      </w:pPr>
      <w:r>
        <w:rPr>
          <w:b w:val="0"/>
          <w:bCs w:val="0"/>
          <w:i w:val="0"/>
          <w:iCs w:val="0"/>
          <w:lang w:val="en-US" w:eastAsia="zh-CN"/>
        </w:rPr>
        <w:t>For device 2a, high CW transmission</w:t>
      </w:r>
      <w:r>
        <w:rPr>
          <w:rFonts w:hint="eastAsia"/>
          <w:b w:val="0"/>
          <w:bCs w:val="0"/>
          <w:i w:val="0"/>
          <w:iCs w:val="0"/>
          <w:lang w:val="en-US" w:eastAsia="zh-CN"/>
        </w:rPr>
        <w:t xml:space="preserve"> </w:t>
      </w:r>
      <w:r>
        <w:rPr>
          <w:b w:val="0"/>
          <w:bCs w:val="0"/>
          <w:i w:val="0"/>
          <w:iCs w:val="0"/>
          <w:lang w:val="en-US" w:eastAsia="zh-CN"/>
        </w:rPr>
        <w:t>power</w:t>
      </w:r>
      <w:r>
        <w:rPr>
          <w:rFonts w:hint="eastAsia"/>
          <w:b w:val="0"/>
          <w:bCs w:val="0"/>
          <w:i w:val="0"/>
          <w:iCs w:val="0"/>
          <w:lang w:val="en-US" w:eastAsia="zh-CN"/>
        </w:rPr>
        <w:t xml:space="preserve"> is required to improve the coverage</w:t>
      </w:r>
      <w:r>
        <w:rPr>
          <w:b w:val="0"/>
          <w:bCs w:val="0"/>
          <w:i w:val="0"/>
          <w:iCs w:val="0"/>
          <w:lang w:val="en-US" w:eastAsia="zh-CN"/>
        </w:rPr>
        <w:t xml:space="preserve">. However, in outdoor scenarios, this </w:t>
      </w:r>
      <w:r>
        <w:rPr>
          <w:rFonts w:hint="eastAsia"/>
          <w:b w:val="0"/>
          <w:bCs w:val="0"/>
          <w:i w:val="0"/>
          <w:iCs w:val="0"/>
          <w:lang w:val="en-US" w:eastAsia="zh-CN"/>
        </w:rPr>
        <w:t xml:space="preserve">will </w:t>
      </w:r>
      <w:r>
        <w:rPr>
          <w:b w:val="0"/>
          <w:bCs w:val="0"/>
          <w:i w:val="0"/>
          <w:iCs w:val="0"/>
          <w:lang w:val="en-US" w:eastAsia="zh-CN"/>
        </w:rPr>
        <w:t>cause significant interference to the NR system. Additionally, since device 2a may have a large receiving bandwidth of 20MHz, NR signals from neighboring frequenc</w:t>
      </w:r>
      <w:r>
        <w:rPr>
          <w:rFonts w:hint="eastAsia"/>
          <w:b w:val="0"/>
          <w:bCs w:val="0"/>
          <w:i w:val="0"/>
          <w:iCs w:val="0"/>
          <w:lang w:val="en-US" w:eastAsia="zh-CN"/>
        </w:rPr>
        <w:t xml:space="preserve">y </w:t>
      </w:r>
      <w:r>
        <w:rPr>
          <w:b w:val="0"/>
          <w:bCs w:val="0"/>
          <w:i w:val="0"/>
          <w:iCs w:val="0"/>
          <w:lang w:val="en-US" w:eastAsia="zh-CN"/>
        </w:rPr>
        <w:t xml:space="preserve">could also interfere with </w:t>
      </w:r>
      <w:r>
        <w:rPr>
          <w:rFonts w:hint="eastAsia"/>
          <w:b w:val="0"/>
          <w:bCs w:val="0"/>
          <w:i w:val="0"/>
          <w:iCs w:val="0"/>
          <w:lang w:val="en-US" w:eastAsia="zh-CN"/>
        </w:rPr>
        <w:t>R2D</w:t>
      </w:r>
      <w:r>
        <w:rPr>
          <w:b w:val="0"/>
          <w:bCs w:val="0"/>
          <w:i w:val="0"/>
          <w:iCs w:val="0"/>
          <w:lang w:val="en-US" w:eastAsia="zh-CN"/>
        </w:rPr>
        <w:t xml:space="preserve"> reception of device 2a. In other words, support</w:t>
      </w:r>
      <w:r>
        <w:rPr>
          <w:rFonts w:hint="eastAsia"/>
          <w:b w:val="0"/>
          <w:bCs w:val="0"/>
          <w:i w:val="0"/>
          <w:iCs w:val="0"/>
          <w:lang w:val="en-US" w:eastAsia="zh-CN"/>
        </w:rPr>
        <w:t>ing</w:t>
      </w:r>
      <w:r>
        <w:rPr>
          <w:b w:val="0"/>
          <w:bCs w:val="0"/>
          <w:i w:val="0"/>
          <w:iCs w:val="0"/>
          <w:lang w:val="en-US" w:eastAsia="zh-CN"/>
        </w:rPr>
        <w:t xml:space="preserve"> device 2a will face </w:t>
      </w:r>
      <w:r>
        <w:rPr>
          <w:rFonts w:hint="eastAsia"/>
          <w:b w:val="0"/>
          <w:bCs w:val="0"/>
          <w:i w:val="0"/>
          <w:iCs w:val="0"/>
          <w:lang w:val="en-US" w:eastAsia="zh-CN"/>
        </w:rPr>
        <w:t xml:space="preserve">larger </w:t>
      </w:r>
      <w:r>
        <w:rPr>
          <w:b w:val="0"/>
          <w:bCs w:val="0"/>
          <w:i w:val="0"/>
          <w:iCs w:val="0"/>
          <w:lang w:val="en-US" w:eastAsia="zh-CN"/>
        </w:rPr>
        <w:t xml:space="preserve">coexistence challenges with NR in outdoor scenarios. Therefore, device 2a </w:t>
      </w:r>
      <w:r>
        <w:rPr>
          <w:rFonts w:hint="eastAsia"/>
          <w:b w:val="0"/>
          <w:bCs w:val="0"/>
          <w:i w:val="0"/>
          <w:iCs w:val="0"/>
          <w:lang w:val="en-US" w:eastAsia="zh-CN"/>
        </w:rPr>
        <w:t>should be de</w:t>
      </w:r>
      <w:r>
        <w:rPr>
          <w:b w:val="0"/>
          <w:bCs w:val="0"/>
          <w:i w:val="0"/>
          <w:iCs w:val="0"/>
          <w:lang w:val="en-US" w:eastAsia="zh-CN"/>
        </w:rPr>
        <w:t>priorit</w:t>
      </w:r>
      <w:r>
        <w:rPr>
          <w:rFonts w:hint="eastAsia"/>
          <w:b w:val="0"/>
          <w:bCs w:val="0"/>
          <w:i w:val="0"/>
          <w:iCs w:val="0"/>
          <w:lang w:val="en-US" w:eastAsia="zh-CN"/>
        </w:rPr>
        <w:t>ized</w:t>
      </w:r>
      <w:r>
        <w:rPr>
          <w:b w:val="0"/>
          <w:bCs w:val="0"/>
          <w:i w:val="0"/>
          <w:iCs w:val="0"/>
          <w:lang w:val="en-US" w:eastAsia="zh-CN"/>
        </w:rPr>
        <w:t xml:space="preserve"> in Rel-20.</w:t>
      </w:r>
    </w:p>
    <w:p>
      <w:pPr>
        <w:pStyle w:val="63"/>
        <w:numPr>
          <w:ilvl w:val="0"/>
          <w:numId w:val="0"/>
        </w:numPr>
        <w:spacing w:beforeLines="0" w:after="120" w:afterLines="0" w:line="240" w:lineRule="auto"/>
        <w:jc w:val="both"/>
        <w:rPr>
          <w:b w:val="0"/>
          <w:bCs w:val="0"/>
          <w:i w:val="0"/>
          <w:iCs w:val="0"/>
          <w:lang w:val="en-US" w:eastAsia="zh-CN"/>
        </w:rPr>
      </w:pPr>
      <w:r>
        <w:rPr>
          <w:b w:val="0"/>
          <w:bCs w:val="0"/>
          <w:i w:val="0"/>
          <w:iCs w:val="0"/>
          <w:lang w:val="en-US" w:eastAsia="zh-CN"/>
        </w:rPr>
        <w:t xml:space="preserve">For device 2b, </w:t>
      </w:r>
      <w:r>
        <w:rPr>
          <w:rFonts w:hint="eastAsia"/>
          <w:b w:val="0"/>
          <w:bCs w:val="0"/>
          <w:i w:val="0"/>
          <w:iCs w:val="0"/>
          <w:lang w:val="en-US" w:eastAsia="zh-CN"/>
        </w:rPr>
        <w:t xml:space="preserve">since </w:t>
      </w:r>
      <w:r>
        <w:rPr>
          <w:b w:val="0"/>
          <w:bCs w:val="0"/>
          <w:i w:val="0"/>
          <w:iCs w:val="0"/>
          <w:lang w:val="en-US" w:eastAsia="zh-CN"/>
        </w:rPr>
        <w:t xml:space="preserve">CW is not </w:t>
      </w:r>
      <w:r>
        <w:rPr>
          <w:rFonts w:hint="eastAsia"/>
          <w:b w:val="0"/>
          <w:bCs w:val="0"/>
          <w:i w:val="0"/>
          <w:iCs w:val="0"/>
          <w:lang w:val="en-US" w:eastAsia="zh-CN"/>
        </w:rPr>
        <w:t>needed</w:t>
      </w:r>
      <w:r>
        <w:rPr>
          <w:b w:val="0"/>
          <w:bCs w:val="0"/>
          <w:i w:val="0"/>
          <w:iCs w:val="0"/>
          <w:lang w:val="en-US" w:eastAsia="zh-CN"/>
        </w:rPr>
        <w:t xml:space="preserve"> and an RF BPF </w:t>
      </w:r>
      <w:r>
        <w:rPr>
          <w:rFonts w:hint="eastAsia"/>
          <w:b w:val="0"/>
          <w:bCs w:val="0"/>
          <w:i w:val="0"/>
          <w:iCs w:val="0"/>
          <w:lang w:val="en-US" w:eastAsia="zh-CN"/>
        </w:rPr>
        <w:t xml:space="preserve">can </w:t>
      </w:r>
      <w:r>
        <w:rPr>
          <w:b w:val="0"/>
          <w:bCs w:val="0"/>
          <w:i w:val="0"/>
          <w:iCs w:val="0"/>
          <w:lang w:val="en-US" w:eastAsia="zh-CN"/>
        </w:rPr>
        <w:t>be implemented</w:t>
      </w:r>
      <w:r>
        <w:rPr>
          <w:rFonts w:hint="eastAsia"/>
          <w:b w:val="0"/>
          <w:bCs w:val="0"/>
          <w:i w:val="0"/>
          <w:iCs w:val="0"/>
          <w:lang w:val="en-US" w:eastAsia="zh-CN"/>
        </w:rPr>
        <w:t>, the coexistence impact on NR is minimal</w:t>
      </w:r>
      <w:r>
        <w:rPr>
          <w:b w:val="0"/>
          <w:bCs w:val="0"/>
          <w:i w:val="0"/>
          <w:iCs w:val="0"/>
          <w:lang w:val="en-US" w:eastAsia="zh-CN"/>
        </w:rPr>
        <w:t xml:space="preserve">. </w:t>
      </w:r>
      <w:r>
        <w:rPr>
          <w:rFonts w:hint="eastAsia"/>
          <w:b w:val="0"/>
          <w:bCs w:val="0"/>
          <w:i w:val="0"/>
          <w:iCs w:val="0"/>
          <w:lang w:val="en-US" w:eastAsia="zh-CN"/>
        </w:rPr>
        <w:t>Moreover</w:t>
      </w:r>
      <w:r>
        <w:rPr>
          <w:b w:val="0"/>
          <w:bCs w:val="0"/>
          <w:i w:val="0"/>
          <w:iCs w:val="0"/>
          <w:lang w:val="en-US" w:eastAsia="zh-CN"/>
        </w:rPr>
        <w:t xml:space="preserve">, considering that </w:t>
      </w:r>
      <w:r>
        <w:rPr>
          <w:rFonts w:hint="eastAsia"/>
          <w:b w:val="0"/>
          <w:bCs w:val="0"/>
          <w:i w:val="0"/>
          <w:iCs w:val="0"/>
          <w:lang w:val="en-US" w:eastAsia="zh-CN"/>
        </w:rPr>
        <w:t>device 2b can support</w:t>
      </w:r>
      <w:r>
        <w:rPr>
          <w:b w:val="0"/>
          <w:bCs w:val="0"/>
          <w:i w:val="0"/>
          <w:iCs w:val="0"/>
          <w:lang w:val="en-US" w:eastAsia="zh-CN"/>
        </w:rPr>
        <w:t xml:space="preserve"> larger coverage distance, </w:t>
      </w:r>
      <w:r>
        <w:rPr>
          <w:rFonts w:hint="eastAsia"/>
          <w:b w:val="0"/>
          <w:bCs w:val="0"/>
          <w:i w:val="0"/>
          <w:iCs w:val="0"/>
          <w:lang w:val="en-US" w:eastAsia="zh-CN"/>
        </w:rPr>
        <w:t>it</w:t>
      </w:r>
      <w:r>
        <w:rPr>
          <w:b w:val="0"/>
          <w:bCs w:val="0"/>
          <w:i w:val="0"/>
          <w:iCs w:val="0"/>
          <w:lang w:val="en-US" w:eastAsia="zh-CN"/>
        </w:rPr>
        <w:t xml:space="preserve"> should be introduced in Rel-20. In addition, a device type (device C) with higher power consumption could also be considered.</w:t>
      </w:r>
    </w:p>
    <w:p>
      <w:pPr>
        <w:pStyle w:val="63"/>
        <w:numPr>
          <w:ilvl w:val="0"/>
          <w:numId w:val="0"/>
        </w:numPr>
        <w:spacing w:beforeLines="0" w:after="120" w:afterLines="0" w:line="240" w:lineRule="auto"/>
        <w:jc w:val="both"/>
        <w:rPr>
          <w:b w:val="0"/>
          <w:bCs w:val="0"/>
          <w:i w:val="0"/>
          <w:iCs w:val="0"/>
          <w:lang w:val="en-US" w:eastAsia="zh-CN"/>
        </w:rPr>
      </w:pPr>
      <w:r>
        <w:rPr>
          <w:rFonts w:hint="default"/>
          <w:b w:val="0"/>
          <w:bCs w:val="0"/>
          <w:i w:val="0"/>
          <w:iCs w:val="0"/>
          <w:lang w:val="en-US" w:eastAsia="zh-CN"/>
        </w:rPr>
        <w:t xml:space="preserve">In Rel-19, clock synchronization is achieved through sample counting via R2D TAS, resulting in a clock accuracy of 10%. For </w:t>
      </w:r>
      <w:r>
        <w:rPr>
          <w:rFonts w:hint="eastAsia"/>
          <w:b w:val="0"/>
          <w:bCs w:val="0"/>
          <w:i w:val="0"/>
          <w:iCs w:val="0"/>
          <w:lang w:val="en-US" w:eastAsia="zh-CN"/>
        </w:rPr>
        <w:t>active d</w:t>
      </w:r>
      <w:r>
        <w:rPr>
          <w:rFonts w:hint="default"/>
          <w:b w:val="0"/>
          <w:bCs w:val="0"/>
          <w:i w:val="0"/>
          <w:iCs w:val="0"/>
          <w:lang w:val="en-US" w:eastAsia="zh-CN"/>
        </w:rPr>
        <w:t xml:space="preserve">evice 2b/C equipped with an RF BPF, synchronization </w:t>
      </w:r>
      <w:r>
        <w:rPr>
          <w:rFonts w:hint="eastAsia"/>
          <w:b w:val="0"/>
          <w:bCs w:val="0"/>
          <w:i w:val="0"/>
          <w:iCs w:val="0"/>
          <w:lang w:val="en-US" w:eastAsia="zh-CN"/>
        </w:rPr>
        <w:t xml:space="preserve">of </w:t>
      </w:r>
      <w:r>
        <w:rPr>
          <w:rFonts w:hint="default"/>
          <w:b w:val="0"/>
          <w:bCs w:val="0"/>
          <w:i w:val="0"/>
          <w:iCs w:val="0"/>
          <w:lang w:val="en-US" w:eastAsia="zh-CN"/>
        </w:rPr>
        <w:t>both R2D and D2R should be further investigated.</w:t>
      </w:r>
    </w:p>
    <w:p>
      <w:pPr>
        <w:pStyle w:val="63"/>
        <w:numPr>
          <w:ilvl w:val="0"/>
          <w:numId w:val="10"/>
        </w:numPr>
        <w:spacing w:before="120" w:beforeLines="0" w:after="120" w:afterLines="0" w:line="240" w:lineRule="auto"/>
        <w:jc w:val="both"/>
        <w:rPr>
          <w:lang w:val="en-US" w:eastAsia="zh-CN"/>
        </w:rPr>
      </w:pPr>
      <w:r>
        <w:rPr>
          <w:rFonts w:hint="eastAsia"/>
          <w:lang w:val="en-US" w:eastAsia="zh-CN"/>
        </w:rPr>
        <w:t>Device 2b/C is introduced to support outdoor scenarios in Rel-20 A-IoT.</w:t>
      </w:r>
    </w:p>
    <w:p>
      <w:pPr>
        <w:pStyle w:val="63"/>
        <w:numPr>
          <w:ilvl w:val="0"/>
          <w:numId w:val="10"/>
        </w:numPr>
        <w:spacing w:before="120" w:beforeLines="0" w:after="120" w:afterLines="0" w:line="240" w:lineRule="auto"/>
        <w:jc w:val="both"/>
        <w:rPr>
          <w:lang w:val="en-US" w:eastAsia="zh-CN"/>
        </w:rPr>
      </w:pPr>
      <w:r>
        <w:rPr>
          <w:rFonts w:hint="eastAsia"/>
          <w:lang w:val="en-US" w:eastAsia="zh-CN"/>
        </w:rPr>
        <w:t>The synchronization of R2D and D2R should be further studied for Device 2b/C.</w:t>
      </w:r>
    </w:p>
    <w:p>
      <w:pPr>
        <w:spacing w:before="120" w:after="120"/>
        <w:rPr>
          <w:b/>
          <w:bCs/>
          <w:u w:val="single"/>
        </w:rPr>
      </w:pPr>
      <w:r>
        <w:rPr>
          <w:rFonts w:hint="eastAsia"/>
          <w:b/>
          <w:bCs/>
          <w:u w:val="single"/>
        </w:rPr>
        <w:t>Coverage</w:t>
      </w:r>
    </w:p>
    <w:p>
      <w:pPr>
        <w:spacing w:before="120" w:beforeLines="0" w:after="120" w:afterLines="0" w:line="240" w:lineRule="auto"/>
        <w:rPr>
          <w:color w:val="000000"/>
          <w:sz w:val="20"/>
        </w:rPr>
      </w:pPr>
      <w:r>
        <w:rPr>
          <w:rFonts w:hint="eastAsia"/>
          <w:sz w:val="20"/>
        </w:rPr>
        <w:t>In Rel-19 SI, it was agreed that the maximum coverage target is 50m. To improve coverage performance and better utilize the higher capabilities of device 2b/C for outdoor cases, some potential enhancements are needed.</w:t>
      </w:r>
    </w:p>
    <w:p>
      <w:pPr>
        <w:spacing w:beforeLines="0" w:after="0" w:afterLines="0" w:line="240" w:lineRule="auto"/>
        <w:rPr>
          <w:sz w:val="20"/>
        </w:rPr>
      </w:pPr>
      <w:r>
        <w:rPr>
          <w:rFonts w:hint="eastAsia"/>
          <w:sz w:val="20"/>
        </w:rPr>
        <w:t>I</w:t>
      </w:r>
      <w:r>
        <w:rPr>
          <w:sz w:val="20"/>
        </w:rPr>
        <w:t>n Rel-19, given the limited capabilities of device 1, only binary modulation</w:t>
      </w:r>
      <w:r>
        <w:rPr>
          <w:rFonts w:hint="eastAsia"/>
          <w:sz w:val="20"/>
        </w:rPr>
        <w:t xml:space="preserve">, </w:t>
      </w:r>
      <w:r>
        <w:rPr>
          <w:sz w:val="20"/>
        </w:rPr>
        <w:t xml:space="preserve">i.e., OOK </w:t>
      </w:r>
      <w:r>
        <w:rPr>
          <w:rFonts w:hint="eastAsia"/>
          <w:sz w:val="20"/>
        </w:rPr>
        <w:t xml:space="preserve">for </w:t>
      </w:r>
      <w:r>
        <w:rPr>
          <w:sz w:val="20"/>
        </w:rPr>
        <w:t xml:space="preserve">the R2D link and OOK/BPSK </w:t>
      </w:r>
      <w:r>
        <w:rPr>
          <w:rFonts w:hint="eastAsia"/>
          <w:sz w:val="20"/>
        </w:rPr>
        <w:t xml:space="preserve">for </w:t>
      </w:r>
      <w:r>
        <w:rPr>
          <w:sz w:val="20"/>
        </w:rPr>
        <w:t>the D2R link</w:t>
      </w:r>
      <w:r>
        <w:rPr>
          <w:rFonts w:hint="eastAsia"/>
          <w:sz w:val="20"/>
        </w:rPr>
        <w:t>, i</w:t>
      </w:r>
      <w:r>
        <w:rPr>
          <w:sz w:val="20"/>
        </w:rPr>
        <w:t>s utilized. Furthermore, FEC</w:t>
      </w:r>
      <w:r>
        <w:rPr>
          <w:rFonts w:hint="eastAsia"/>
          <w:sz w:val="20"/>
        </w:rPr>
        <w:t xml:space="preserve"> coding i</w:t>
      </w:r>
      <w:r>
        <w:rPr>
          <w:sz w:val="20"/>
        </w:rPr>
        <w:t>s not applied in the R2D link.</w:t>
      </w:r>
      <w:r>
        <w:rPr>
          <w:rFonts w:hint="eastAsia"/>
          <w:sz w:val="20"/>
        </w:rPr>
        <w:t xml:space="preserve"> In Rel-20, </w:t>
      </w:r>
      <w:r>
        <w:rPr>
          <w:sz w:val="20"/>
        </w:rPr>
        <w:t xml:space="preserve"> enhancements </w:t>
      </w:r>
      <w:r>
        <w:rPr>
          <w:rFonts w:hint="eastAsia"/>
          <w:sz w:val="20"/>
        </w:rPr>
        <w:t>like FEC for R2D transmission can be considered to improve the performance and coverage.</w:t>
      </w:r>
    </w:p>
    <w:p>
      <w:pPr>
        <w:pStyle w:val="63"/>
        <w:numPr>
          <w:ilvl w:val="0"/>
          <w:numId w:val="10"/>
        </w:numPr>
        <w:spacing w:before="120" w:beforeLines="0" w:after="120" w:afterLines="0" w:line="240" w:lineRule="auto"/>
        <w:jc w:val="both"/>
        <w:rPr>
          <w:lang w:val="en-US" w:eastAsia="zh-CN"/>
        </w:rPr>
      </w:pPr>
      <w:r>
        <w:rPr>
          <w:rFonts w:hint="eastAsia"/>
          <w:lang w:val="en-US" w:eastAsia="zh-CN"/>
        </w:rPr>
        <w:t>Techniques to improve coverage should be considered in Rel-20 A-IoT.</w:t>
      </w:r>
    </w:p>
    <w:p>
      <w:pPr>
        <w:pStyle w:val="63"/>
        <w:numPr>
          <w:ilvl w:val="255"/>
          <w:numId w:val="0"/>
        </w:numPr>
        <w:spacing w:before="120" w:beforeLines="0" w:after="120" w:afterLines="0" w:line="240" w:lineRule="auto"/>
        <w:jc w:val="both"/>
        <w:rPr>
          <w:rFonts w:ascii="Arial" w:hAnsi="Arial" w:cs="Arial"/>
        </w:rPr>
      </w:pPr>
    </w:p>
    <w:p>
      <w:pPr>
        <w:pStyle w:val="4"/>
        <w:spacing w:after="120"/>
        <w:ind w:right="210"/>
        <w:rPr>
          <w:b/>
          <w:bCs/>
        </w:rPr>
      </w:pPr>
      <w:r>
        <w:rPr>
          <w:rFonts w:hint="eastAsia"/>
          <w:b/>
          <w:bCs/>
        </w:rPr>
        <w:t>Connectivity topology</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In TR38.848, the following d</w:t>
      </w:r>
      <w:r>
        <w:rPr>
          <w:b w:val="0"/>
          <w:bCs w:val="0"/>
          <w:i w:val="0"/>
          <w:iCs w:val="0"/>
        </w:rPr>
        <w:t>eployment scenario</w:t>
      </w:r>
      <w:r>
        <w:rPr>
          <w:rFonts w:hint="eastAsia"/>
          <w:b w:val="0"/>
          <w:bCs w:val="0"/>
          <w:i w:val="0"/>
          <w:iCs w:val="0"/>
          <w:lang w:val="en-US" w:eastAsia="zh-CN"/>
        </w:rPr>
        <w:t>s and c</w:t>
      </w:r>
      <w:r>
        <w:rPr>
          <w:rFonts w:hint="eastAsia" w:eastAsia="宋体"/>
          <w:b w:val="0"/>
          <w:bCs w:val="0"/>
          <w:i w:val="0"/>
          <w:iCs w:val="0"/>
          <w:lang w:val="en-US" w:eastAsia="zh-CN"/>
        </w:rPr>
        <w:t>onnectivity topologies</w:t>
      </w:r>
      <w:r>
        <w:rPr>
          <w:b w:val="0"/>
          <w:bCs w:val="0"/>
          <w:i w:val="0"/>
          <w:iCs w:val="0"/>
        </w:rPr>
        <w:t xml:space="preserve"> </w:t>
      </w:r>
      <w:r>
        <w:rPr>
          <w:rFonts w:hint="eastAsia"/>
          <w:b w:val="0"/>
          <w:bCs w:val="0"/>
          <w:i w:val="0"/>
          <w:iCs w:val="0"/>
          <w:lang w:val="en-US" w:eastAsia="zh-CN"/>
        </w:rPr>
        <w:t>are defined for A-IoT networks.</w:t>
      </w:r>
    </w:p>
    <w:p>
      <w:pPr>
        <w:pStyle w:val="21"/>
        <w:numPr>
          <w:ilvl w:val="0"/>
          <w:numId w:val="9"/>
        </w:numPr>
        <w:spacing w:beforeLines="0" w:beforeAutospacing="0" w:after="120" w:afterLines="0" w:afterAutospacing="0" w:line="240" w:lineRule="auto"/>
        <w:jc w:val="both"/>
        <w:rPr>
          <w:color w:val="000000"/>
          <w:sz w:val="20"/>
        </w:rPr>
      </w:pPr>
      <w:r>
        <w:rPr>
          <w:color w:val="000000"/>
          <w:sz w:val="20"/>
        </w:rPr>
        <w:t>Deployment scenario</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Deployment scenario 1: Device indoors, basestation indoors</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Deployment scenario 2: Device indoors, basestation outdoors</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Deployment scenario 3: Device indoors, UE-based reader</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Deployment scenario 4: Device outdoors, basestation outdoors</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Deployment scenario 5: Device outdoors, UE-based reader</w:t>
      </w:r>
    </w:p>
    <w:p>
      <w:pPr>
        <w:pStyle w:val="21"/>
        <w:numPr>
          <w:ilvl w:val="0"/>
          <w:numId w:val="9"/>
        </w:numPr>
        <w:spacing w:beforeLines="0" w:beforeAutospacing="0" w:after="120" w:afterLines="0" w:afterAutospacing="0" w:line="240" w:lineRule="auto"/>
        <w:jc w:val="both"/>
        <w:rPr>
          <w:color w:val="000000"/>
          <w:sz w:val="20"/>
        </w:rPr>
      </w:pPr>
      <w:r>
        <w:rPr>
          <w:rFonts w:hint="eastAsia"/>
          <w:color w:val="000000"/>
          <w:sz w:val="20"/>
        </w:rPr>
        <w:t>Conectivity topologies</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Topology 1: BS ↔ Ambient IoT device</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Topology 2: BS ↔ intermediate node ↔ Ambient IoT device</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 xml:space="preserve">Topology 3: BS ↔ assisting </w:t>
      </w:r>
      <w:r>
        <w:rPr>
          <w:rFonts w:hint="eastAsia"/>
          <w:color w:val="000000"/>
          <w:sz w:val="20"/>
        </w:rPr>
        <w:t>node</w:t>
      </w:r>
      <w:r>
        <w:rPr>
          <w:color w:val="000000"/>
          <w:sz w:val="20"/>
        </w:rPr>
        <w:t xml:space="preserve"> ↔ Ambient IoT device ↔ BS</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Topology 4: UE ↔ Ambient IoT device</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In Rel-19 SI, Deployment scenario 1 with Topology 1 (D1T1) and Deployment scenario 2 with Topology 2 (D2T2) were studied and evaluated for A-IoT. Specifically, D1T1 and D2T2 are further categorized into several scenarios in Figure 1 considering different CW deployments:</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1"/>
        <w:gridCol w:w="2414"/>
        <w:gridCol w:w="2724"/>
        <w:gridCol w:w="21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tcPr>
          <w:p>
            <w:pPr>
              <w:spacing w:after="0"/>
              <w:jc w:val="center"/>
              <w:rPr>
                <w:sz w:val="20"/>
                <w:lang w:eastAsia="zh-CN"/>
              </w:rPr>
            </w:pPr>
            <w:r>
              <w:rPr>
                <w:sz w:val="20"/>
              </w:rPr>
              <w:drawing>
                <wp:inline distT="0" distB="0" distL="0" distR="0">
                  <wp:extent cx="1628140" cy="467995"/>
                  <wp:effectExtent l="0" t="0" r="2540" b="444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2"/>
                          <a:stretch>
                            <a:fillRect/>
                          </a:stretch>
                        </pic:blipFill>
                        <pic:spPr>
                          <a:xfrm>
                            <a:off x="0" y="0"/>
                            <a:ext cx="1628273" cy="468000"/>
                          </a:xfrm>
                          <a:prstGeom prst="rect">
                            <a:avLst/>
                          </a:prstGeom>
                        </pic:spPr>
                      </pic:pic>
                    </a:graphicData>
                  </a:graphic>
                </wp:inline>
              </w:drawing>
            </w:r>
          </w:p>
          <w:p>
            <w:pPr>
              <w:spacing w:after="0"/>
              <w:jc w:val="center"/>
              <w:rPr>
                <w:rFonts w:hint="default"/>
                <w:sz w:val="20"/>
                <w:lang w:val="en-US" w:eastAsia="zh-CN"/>
              </w:rPr>
            </w:pPr>
            <w:r>
              <w:rPr>
                <w:rFonts w:hint="eastAsia"/>
                <w:sz w:val="20"/>
                <w:lang w:eastAsia="zh-CN"/>
              </w:rPr>
              <w:t>D</w:t>
            </w:r>
            <w:r>
              <w:rPr>
                <w:sz w:val="20"/>
                <w:lang w:eastAsia="zh-CN"/>
              </w:rPr>
              <w:t>1T1-A</w:t>
            </w:r>
            <w:r>
              <w:rPr>
                <w:rFonts w:hint="eastAsia"/>
                <w:sz w:val="20"/>
                <w:lang w:val="en-US" w:eastAsia="zh-CN"/>
              </w:rPr>
              <w:t>1</w:t>
            </w:r>
          </w:p>
        </w:tc>
        <w:tc>
          <w:tcPr>
            <w:tcW w:w="2264" w:type="dxa"/>
          </w:tcPr>
          <w:p>
            <w:pPr>
              <w:spacing w:after="0"/>
              <w:jc w:val="center"/>
              <w:rPr>
                <w:sz w:val="20"/>
                <w:lang w:eastAsia="zh-CN"/>
              </w:rPr>
            </w:pPr>
            <w:r>
              <w:rPr>
                <w:sz w:val="20"/>
              </w:rPr>
              <w:drawing>
                <wp:inline distT="0" distB="0" distL="0" distR="0">
                  <wp:extent cx="1022350" cy="467995"/>
                  <wp:effectExtent l="0" t="0" r="13970" b="4445"/>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13"/>
                          <a:stretch>
                            <a:fillRect/>
                          </a:stretch>
                        </pic:blipFill>
                        <pic:spPr>
                          <a:xfrm>
                            <a:off x="0" y="0"/>
                            <a:ext cx="1022934" cy="468000"/>
                          </a:xfrm>
                          <a:prstGeom prst="rect">
                            <a:avLst/>
                          </a:prstGeom>
                        </pic:spPr>
                      </pic:pic>
                    </a:graphicData>
                  </a:graphic>
                </wp:inline>
              </w:drawing>
            </w:r>
          </w:p>
          <w:p>
            <w:pPr>
              <w:spacing w:after="0"/>
              <w:jc w:val="center"/>
              <w:rPr>
                <w:rFonts w:hint="default"/>
                <w:sz w:val="20"/>
                <w:lang w:val="en-US" w:eastAsia="zh-CN"/>
              </w:rPr>
            </w:pPr>
            <w:r>
              <w:rPr>
                <w:rFonts w:hint="eastAsia"/>
                <w:sz w:val="20"/>
                <w:lang w:eastAsia="zh-CN"/>
              </w:rPr>
              <w:t>D</w:t>
            </w:r>
            <w:r>
              <w:rPr>
                <w:sz w:val="20"/>
                <w:lang w:eastAsia="zh-CN"/>
              </w:rPr>
              <w:t>1T1-</w:t>
            </w:r>
            <w:r>
              <w:rPr>
                <w:rFonts w:hint="eastAsia"/>
                <w:sz w:val="20"/>
                <w:lang w:val="en-US" w:eastAsia="zh-CN"/>
              </w:rPr>
              <w:t>A2</w:t>
            </w:r>
          </w:p>
        </w:tc>
        <w:tc>
          <w:tcPr>
            <w:tcW w:w="2957" w:type="dxa"/>
          </w:tcPr>
          <w:p>
            <w:pPr>
              <w:spacing w:after="0"/>
              <w:jc w:val="center"/>
              <w:rPr>
                <w:sz w:val="20"/>
                <w:lang w:eastAsia="zh-CN"/>
              </w:rPr>
            </w:pPr>
            <w:r>
              <w:rPr>
                <w:sz w:val="20"/>
              </w:rPr>
              <w:drawing>
                <wp:inline distT="0" distB="0" distL="0" distR="0">
                  <wp:extent cx="1485900" cy="467995"/>
                  <wp:effectExtent l="0" t="0" r="7620" b="4445"/>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4"/>
                          <a:stretch>
                            <a:fillRect/>
                          </a:stretch>
                        </pic:blipFill>
                        <pic:spPr>
                          <a:xfrm>
                            <a:off x="0" y="0"/>
                            <a:ext cx="1486045" cy="468000"/>
                          </a:xfrm>
                          <a:prstGeom prst="rect">
                            <a:avLst/>
                          </a:prstGeom>
                        </pic:spPr>
                      </pic:pic>
                    </a:graphicData>
                  </a:graphic>
                </wp:inline>
              </w:drawing>
            </w:r>
          </w:p>
          <w:p>
            <w:pPr>
              <w:spacing w:after="0"/>
              <w:jc w:val="center"/>
              <w:rPr>
                <w:sz w:val="20"/>
                <w:lang w:eastAsia="zh-CN"/>
              </w:rPr>
            </w:pPr>
            <w:r>
              <w:rPr>
                <w:rFonts w:hint="eastAsia"/>
                <w:sz w:val="20"/>
                <w:lang w:eastAsia="zh-CN"/>
              </w:rPr>
              <w:t>D</w:t>
            </w:r>
            <w:r>
              <w:rPr>
                <w:sz w:val="20"/>
                <w:lang w:eastAsia="zh-CN"/>
              </w:rPr>
              <w:t>1T1-</w:t>
            </w:r>
            <w:r>
              <w:rPr>
                <w:rFonts w:hint="eastAsia"/>
                <w:sz w:val="20"/>
                <w:lang w:val="en-US" w:eastAsia="zh-CN"/>
              </w:rPr>
              <w:t>B</w:t>
            </w:r>
          </w:p>
        </w:tc>
        <w:tc>
          <w:tcPr>
            <w:tcW w:w="2415" w:type="dxa"/>
          </w:tcPr>
          <w:p>
            <w:pPr>
              <w:spacing w:after="0"/>
              <w:jc w:val="center"/>
              <w:rPr>
                <w:sz w:val="20"/>
                <w:lang w:eastAsia="zh-CN"/>
              </w:rPr>
            </w:pPr>
            <w:r>
              <w:rPr>
                <w:sz w:val="20"/>
              </w:rPr>
              <w:drawing>
                <wp:inline distT="0" distB="0" distL="0" distR="0">
                  <wp:extent cx="1059180" cy="467995"/>
                  <wp:effectExtent l="0" t="0" r="7620" b="4445"/>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5"/>
                          <a:stretch>
                            <a:fillRect/>
                          </a:stretch>
                        </pic:blipFill>
                        <pic:spPr>
                          <a:xfrm>
                            <a:off x="0" y="0"/>
                            <a:ext cx="1059648" cy="468000"/>
                          </a:xfrm>
                          <a:prstGeom prst="rect">
                            <a:avLst/>
                          </a:prstGeom>
                        </pic:spPr>
                      </pic:pic>
                    </a:graphicData>
                  </a:graphic>
                </wp:inline>
              </w:drawing>
            </w:r>
          </w:p>
          <w:p>
            <w:pPr>
              <w:spacing w:after="0"/>
              <w:jc w:val="center"/>
              <w:rPr>
                <w:rFonts w:hint="default"/>
                <w:sz w:val="20"/>
                <w:lang w:val="en-US" w:eastAsia="zh-CN"/>
              </w:rPr>
            </w:pPr>
            <w:r>
              <w:rPr>
                <w:rFonts w:hint="eastAsia"/>
                <w:sz w:val="20"/>
                <w:lang w:eastAsia="zh-CN"/>
              </w:rPr>
              <w:t>D</w:t>
            </w:r>
            <w:r>
              <w:rPr>
                <w:sz w:val="20"/>
                <w:lang w:eastAsia="zh-CN"/>
              </w:rPr>
              <w:t>1T1-</w:t>
            </w:r>
            <w:r>
              <w:rPr>
                <w:rFonts w:hint="eastAsia"/>
                <w:sz w:val="20"/>
                <w:lang w:val="en-US" w:eastAsia="zh-CN"/>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2660" w:type="dxa"/>
          </w:tcPr>
          <w:p>
            <w:pPr>
              <w:spacing w:after="0"/>
              <w:jc w:val="center"/>
              <w:rPr>
                <w:sz w:val="20"/>
                <w:lang w:eastAsia="zh-CN"/>
              </w:rPr>
            </w:pPr>
            <w:r>
              <w:rPr>
                <w:sz w:val="20"/>
              </w:rPr>
              <w:drawing>
                <wp:inline distT="0" distB="0" distL="0" distR="0">
                  <wp:extent cx="1557020" cy="526415"/>
                  <wp:effectExtent l="0" t="0" r="1270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597867" cy="540217"/>
                          </a:xfrm>
                          <a:prstGeom prst="rect">
                            <a:avLst/>
                          </a:prstGeom>
                        </pic:spPr>
                      </pic:pic>
                    </a:graphicData>
                  </a:graphic>
                </wp:inline>
              </w:drawing>
            </w:r>
          </w:p>
          <w:p>
            <w:pPr>
              <w:spacing w:after="0"/>
              <w:jc w:val="center"/>
              <w:rPr>
                <w:sz w:val="20"/>
                <w:lang w:eastAsia="zh-CN"/>
              </w:rPr>
            </w:pPr>
            <w:r>
              <w:rPr>
                <w:rFonts w:hint="eastAsia"/>
                <w:sz w:val="20"/>
                <w:lang w:eastAsia="zh-CN"/>
              </w:rPr>
              <w:t>D</w:t>
            </w:r>
            <w:r>
              <w:rPr>
                <w:sz w:val="20"/>
                <w:lang w:eastAsia="zh-CN"/>
              </w:rPr>
              <w:t>2T2-A</w:t>
            </w:r>
            <w:r>
              <w:rPr>
                <w:rFonts w:hint="eastAsia"/>
                <w:sz w:val="20"/>
                <w:lang w:val="en-US" w:eastAsia="zh-CN"/>
              </w:rPr>
              <w:t>1</w:t>
            </w:r>
          </w:p>
        </w:tc>
        <w:tc>
          <w:tcPr>
            <w:tcW w:w="2264" w:type="dxa"/>
          </w:tcPr>
          <w:p>
            <w:pPr>
              <w:spacing w:after="0"/>
              <w:jc w:val="center"/>
              <w:rPr>
                <w:sz w:val="20"/>
                <w:lang w:eastAsia="zh-CN"/>
              </w:rPr>
            </w:pPr>
            <w:r>
              <w:rPr>
                <w:sz w:val="20"/>
              </w:rPr>
              <w:drawing>
                <wp:inline distT="0" distB="0" distL="0" distR="0">
                  <wp:extent cx="1508125" cy="504190"/>
                  <wp:effectExtent l="0" t="0" r="635" b="139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7"/>
                          <a:stretch>
                            <a:fillRect/>
                          </a:stretch>
                        </pic:blipFill>
                        <pic:spPr>
                          <a:xfrm>
                            <a:off x="0" y="0"/>
                            <a:ext cx="1527222" cy="510726"/>
                          </a:xfrm>
                          <a:prstGeom prst="rect">
                            <a:avLst/>
                          </a:prstGeom>
                        </pic:spPr>
                      </pic:pic>
                    </a:graphicData>
                  </a:graphic>
                </wp:inline>
              </w:drawing>
            </w:r>
          </w:p>
          <w:p>
            <w:pPr>
              <w:spacing w:after="0"/>
              <w:jc w:val="center"/>
              <w:rPr>
                <w:rFonts w:hint="default"/>
                <w:sz w:val="20"/>
                <w:lang w:val="en-US" w:eastAsia="zh-CN"/>
              </w:rPr>
            </w:pPr>
            <w:r>
              <w:rPr>
                <w:rFonts w:hint="eastAsia"/>
                <w:sz w:val="20"/>
                <w:lang w:eastAsia="zh-CN"/>
              </w:rPr>
              <w:t>D</w:t>
            </w:r>
            <w:r>
              <w:rPr>
                <w:sz w:val="20"/>
                <w:lang w:eastAsia="zh-CN"/>
              </w:rPr>
              <w:t>2T2-A</w:t>
            </w:r>
            <w:r>
              <w:rPr>
                <w:rFonts w:hint="eastAsia"/>
                <w:sz w:val="20"/>
                <w:lang w:val="en-US" w:eastAsia="zh-CN"/>
              </w:rPr>
              <w:t>2</w:t>
            </w:r>
          </w:p>
        </w:tc>
        <w:tc>
          <w:tcPr>
            <w:tcW w:w="2957" w:type="dxa"/>
          </w:tcPr>
          <w:p>
            <w:pPr>
              <w:spacing w:after="0"/>
              <w:jc w:val="center"/>
              <w:rPr>
                <w:sz w:val="20"/>
                <w:lang w:eastAsia="zh-CN"/>
              </w:rPr>
            </w:pPr>
            <w:r>
              <w:rPr>
                <w:sz w:val="20"/>
              </w:rPr>
              <w:drawing>
                <wp:inline distT="0" distB="0" distL="0" distR="0">
                  <wp:extent cx="1715135" cy="480060"/>
                  <wp:effectExtent l="0" t="0" r="6985"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8"/>
                          <a:stretch>
                            <a:fillRect/>
                          </a:stretch>
                        </pic:blipFill>
                        <pic:spPr>
                          <a:xfrm>
                            <a:off x="0" y="0"/>
                            <a:ext cx="1732343" cy="484868"/>
                          </a:xfrm>
                          <a:prstGeom prst="rect">
                            <a:avLst/>
                          </a:prstGeom>
                        </pic:spPr>
                      </pic:pic>
                    </a:graphicData>
                  </a:graphic>
                </wp:inline>
              </w:drawing>
            </w:r>
          </w:p>
          <w:p>
            <w:pPr>
              <w:spacing w:after="0"/>
              <w:jc w:val="center"/>
              <w:rPr>
                <w:sz w:val="20"/>
                <w:lang w:eastAsia="zh-CN"/>
              </w:rPr>
            </w:pPr>
            <w:r>
              <w:rPr>
                <w:rFonts w:hint="eastAsia"/>
                <w:sz w:val="20"/>
                <w:lang w:eastAsia="zh-CN"/>
              </w:rPr>
              <w:t>D</w:t>
            </w:r>
            <w:r>
              <w:rPr>
                <w:sz w:val="20"/>
                <w:lang w:eastAsia="zh-CN"/>
              </w:rPr>
              <w:t>2T2-</w:t>
            </w:r>
            <w:r>
              <w:rPr>
                <w:rFonts w:hint="eastAsia"/>
                <w:sz w:val="20"/>
                <w:lang w:val="en-US" w:eastAsia="zh-CN"/>
              </w:rPr>
              <w:t>B</w:t>
            </w:r>
          </w:p>
        </w:tc>
        <w:tc>
          <w:tcPr>
            <w:tcW w:w="2415" w:type="dxa"/>
          </w:tcPr>
          <w:p>
            <w:pPr>
              <w:spacing w:after="0"/>
              <w:jc w:val="center"/>
              <w:rPr>
                <w:sz w:val="20"/>
                <w:lang w:eastAsia="zh-CN"/>
              </w:rPr>
            </w:pPr>
            <w:r>
              <w:rPr>
                <w:sz w:val="20"/>
              </w:rPr>
              <w:drawing>
                <wp:inline distT="0" distB="0" distL="0" distR="0">
                  <wp:extent cx="1316990" cy="444500"/>
                  <wp:effectExtent l="0" t="0" r="8890" b="1270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9"/>
                          <a:stretch>
                            <a:fillRect/>
                          </a:stretch>
                        </pic:blipFill>
                        <pic:spPr>
                          <a:xfrm>
                            <a:off x="0" y="0"/>
                            <a:ext cx="1337556" cy="451698"/>
                          </a:xfrm>
                          <a:prstGeom prst="rect">
                            <a:avLst/>
                          </a:prstGeom>
                        </pic:spPr>
                      </pic:pic>
                    </a:graphicData>
                  </a:graphic>
                </wp:inline>
              </w:drawing>
            </w:r>
          </w:p>
          <w:p>
            <w:pPr>
              <w:spacing w:after="0"/>
              <w:jc w:val="center"/>
              <w:rPr>
                <w:sz w:val="20"/>
                <w:lang w:eastAsia="zh-CN"/>
              </w:rPr>
            </w:pPr>
            <w:r>
              <w:rPr>
                <w:rFonts w:hint="eastAsia"/>
                <w:sz w:val="20"/>
                <w:lang w:eastAsia="zh-CN"/>
              </w:rPr>
              <w:t>D</w:t>
            </w:r>
            <w:r>
              <w:rPr>
                <w:sz w:val="20"/>
                <w:lang w:eastAsia="zh-CN"/>
              </w:rPr>
              <w:t>2T2-</w:t>
            </w:r>
            <w:r>
              <w:rPr>
                <w:rFonts w:hint="eastAsia"/>
                <w:sz w:val="20"/>
                <w:lang w:val="en-US" w:eastAsia="zh-CN"/>
              </w:rPr>
              <w:t>C</w:t>
            </w:r>
          </w:p>
        </w:tc>
      </w:tr>
    </w:tbl>
    <w:p>
      <w:pPr>
        <w:spacing w:after="120"/>
        <w:jc w:val="center"/>
        <w:rPr>
          <w:sz w:val="20"/>
          <w:lang w:eastAsia="zh-CN"/>
        </w:rPr>
      </w:pPr>
      <w:r>
        <w:rPr>
          <w:rFonts w:hint="eastAsia"/>
          <w:sz w:val="20"/>
          <w:lang w:eastAsia="zh-CN"/>
        </w:rPr>
        <w:t>F</w:t>
      </w:r>
      <w:r>
        <w:rPr>
          <w:sz w:val="20"/>
          <w:lang w:eastAsia="zh-CN"/>
        </w:rPr>
        <w:t xml:space="preserve">igure 1 </w:t>
      </w:r>
      <w:r>
        <w:rPr>
          <w:rFonts w:hint="eastAsia"/>
          <w:sz w:val="20"/>
          <w:lang w:val="en-US" w:eastAsia="zh-CN"/>
        </w:rPr>
        <w:t xml:space="preserve"> </w:t>
      </w:r>
      <w:r>
        <w:rPr>
          <w:rFonts w:hint="eastAsia"/>
          <w:b w:val="0"/>
          <w:bCs w:val="0"/>
          <w:i w:val="0"/>
          <w:iCs w:val="0"/>
          <w:lang w:val="en-US" w:eastAsia="zh-CN"/>
        </w:rPr>
        <w:t>Topologies for D1T1 and D2T2</w:t>
      </w:r>
    </w:p>
    <w:p>
      <w:pPr>
        <w:pStyle w:val="63"/>
        <w:numPr>
          <w:ilvl w:val="0"/>
          <w:numId w:val="0"/>
        </w:numPr>
        <w:spacing w:beforeLines="0" w:after="120" w:afterLines="0" w:line="240" w:lineRule="auto"/>
        <w:jc w:val="both"/>
        <w:rPr>
          <w:b w:val="0"/>
          <w:bCs w:val="0"/>
          <w:i w:val="0"/>
          <w:iCs w:val="0"/>
          <w:lang w:val="en-US" w:eastAsia="zh-CN"/>
        </w:rPr>
      </w:pPr>
      <w:r>
        <w:rPr>
          <w:rFonts w:hint="eastAsia"/>
          <w:b w:val="0"/>
          <w:bCs w:val="0"/>
          <w:i w:val="0"/>
          <w:iCs w:val="0"/>
          <w:lang w:val="en-US" w:eastAsia="zh-CN"/>
        </w:rPr>
        <w:t xml:space="preserve">Among the scenarios listed in Figure 1, only D1T1-B is supported in Rel-19 WI. As discussed above, </w:t>
      </w:r>
      <w:r>
        <w:rPr>
          <w:b w:val="0"/>
          <w:bCs w:val="0"/>
          <w:i w:val="0"/>
          <w:iCs w:val="0"/>
          <w:lang w:val="en-US" w:eastAsia="zh-CN"/>
        </w:rPr>
        <w:t xml:space="preserve">outdoors scenarios are essential for supporting </w:t>
      </w:r>
      <w:r>
        <w:rPr>
          <w:rFonts w:hint="eastAsia"/>
          <w:b w:val="0"/>
          <w:bCs w:val="0"/>
          <w:i w:val="0"/>
          <w:iCs w:val="0"/>
          <w:lang w:val="en-US" w:eastAsia="zh-CN"/>
        </w:rPr>
        <w:t xml:space="preserve">more </w:t>
      </w:r>
      <w:r>
        <w:rPr>
          <w:b w:val="0"/>
          <w:bCs w:val="0"/>
          <w:i w:val="0"/>
          <w:iCs w:val="0"/>
          <w:lang w:val="en-US" w:eastAsia="zh-CN"/>
        </w:rPr>
        <w:t>use cases</w:t>
      </w:r>
      <w:r>
        <w:rPr>
          <w:rFonts w:hint="eastAsia"/>
          <w:b w:val="0"/>
          <w:bCs w:val="0"/>
          <w:i w:val="0"/>
          <w:iCs w:val="0"/>
          <w:lang w:val="en-US" w:eastAsia="zh-CN"/>
        </w:rPr>
        <w:t xml:space="preserve"> </w:t>
      </w:r>
      <w:r>
        <w:rPr>
          <w:b w:val="0"/>
          <w:bCs w:val="0"/>
          <w:i w:val="0"/>
          <w:iCs w:val="0"/>
          <w:lang w:val="en-US" w:eastAsia="zh-CN"/>
        </w:rPr>
        <w:t>and traffic</w:t>
      </w:r>
      <w:r>
        <w:rPr>
          <w:rFonts w:hint="eastAsia"/>
          <w:b w:val="0"/>
          <w:bCs w:val="0"/>
          <w:i w:val="0"/>
          <w:iCs w:val="0"/>
          <w:lang w:val="en-US" w:eastAsia="zh-CN"/>
        </w:rPr>
        <w:t xml:space="preserve">. Therefore, some deployment scenarios and topologies for outdoor services should be considered in Rel-20 A-IoT. Specifically, D4T1 should be supported, as it is designed </w:t>
      </w:r>
      <w:r>
        <w:rPr>
          <w:b w:val="0"/>
          <w:bCs w:val="0"/>
          <w:i w:val="0"/>
          <w:iCs w:val="0"/>
          <w:lang w:val="en-US" w:eastAsia="zh-CN"/>
        </w:rPr>
        <w:t>for large coverage</w:t>
      </w:r>
      <w:r>
        <w:rPr>
          <w:rFonts w:hint="eastAsia"/>
          <w:b w:val="0"/>
          <w:bCs w:val="0"/>
          <w:i w:val="0"/>
          <w:iCs w:val="0"/>
          <w:lang w:val="en-US" w:eastAsia="zh-CN"/>
        </w:rPr>
        <w:t xml:space="preserve">. </w:t>
      </w:r>
    </w:p>
    <w:p>
      <w:pPr>
        <w:pStyle w:val="63"/>
        <w:numPr>
          <w:ilvl w:val="0"/>
          <w:numId w:val="10"/>
        </w:numPr>
        <w:spacing w:beforeLines="0" w:after="120" w:afterLines="0" w:line="240" w:lineRule="auto"/>
        <w:rPr>
          <w:lang w:val="en-US" w:eastAsia="zh-CN"/>
        </w:rPr>
      </w:pPr>
      <w:r>
        <w:rPr>
          <w:rFonts w:hint="eastAsia"/>
          <w:lang w:val="en-US" w:eastAsia="zh-CN"/>
        </w:rPr>
        <w:t>D4T1 for device 2b/C outdoors can be considered for Rel-20 A-IoT.</w:t>
      </w:r>
    </w:p>
    <w:p>
      <w:pPr>
        <w:pStyle w:val="63"/>
        <w:numPr>
          <w:ilvl w:val="0"/>
          <w:numId w:val="0"/>
        </w:numPr>
        <w:spacing w:beforeLines="0" w:after="120" w:afterLines="0" w:line="240" w:lineRule="auto"/>
        <w:rPr>
          <w:lang w:val="en-US" w:eastAsia="zh-CN"/>
        </w:rPr>
      </w:pPr>
    </w:p>
    <w:p>
      <w:pPr>
        <w:pStyle w:val="3"/>
        <w:spacing w:before="120" w:after="120"/>
        <w:ind w:right="210"/>
        <w:rPr>
          <w:b/>
          <w:bCs/>
        </w:rPr>
      </w:pPr>
      <w:r>
        <w:rPr>
          <w:rFonts w:hint="eastAsia"/>
          <w:b/>
          <w:bCs/>
        </w:rPr>
        <w:t>2.2 Topology 2</w:t>
      </w:r>
    </w:p>
    <w:p>
      <w:pPr>
        <w:spacing w:beforeLines="0" w:after="120" w:afterLines="0" w:line="240" w:lineRule="auto"/>
        <w:rPr>
          <w:rFonts w:hint="eastAsia" w:eastAsiaTheme="minorEastAsia"/>
          <w:sz w:val="20"/>
        </w:rPr>
      </w:pPr>
      <w:r>
        <w:rPr>
          <w:rFonts w:hint="eastAsia" w:eastAsiaTheme="minorEastAsia"/>
          <w:sz w:val="20"/>
        </w:rPr>
        <w:t>According to the work plan for Rel-20 A-IoT, Topology 2 (</w:t>
      </w:r>
      <w:r>
        <w:rPr>
          <w:sz w:val="20"/>
        </w:rPr>
        <w:t>TP#2</w:t>
      </w:r>
      <w:r>
        <w:rPr>
          <w:rFonts w:hint="eastAsia" w:eastAsiaTheme="minorEastAsia"/>
          <w:sz w:val="20"/>
        </w:rPr>
        <w:t>) will be supported at least for D2T2. Given that the maximum transmission power and coverage of TP#2 are comparable to those of an RFID reader, it is more practical and cost-effective to deploy Device 1 in the D2T2-A2 configuration. In contrast, configurations such as D2T</w:t>
      </w:r>
      <w:r>
        <w:rPr>
          <w:rFonts w:hint="eastAsia" w:eastAsiaTheme="minorEastAsia"/>
          <w:sz w:val="20"/>
          <w:lang w:val="en-US" w:eastAsia="zh-CN"/>
        </w:rPr>
        <w:t>2</w:t>
      </w:r>
      <w:r>
        <w:rPr>
          <w:rFonts w:hint="eastAsia" w:eastAsiaTheme="minorEastAsia"/>
          <w:sz w:val="20"/>
        </w:rPr>
        <w:t>-A1/B require additional transmission nodes and coordination mechanisms, leading to increased deployment complexity and cost. Therefore, the D2T2-A2 topology is recommended for Device 1.</w:t>
      </w:r>
    </w:p>
    <w:p>
      <w:pPr>
        <w:pStyle w:val="60"/>
        <w:jc w:val="both"/>
        <w:rPr>
          <w:rFonts w:hint="eastAsia" w:eastAsiaTheme="minorEastAsia"/>
          <w:sz w:val="20"/>
          <w:lang w:val="en-US" w:eastAsia="zh-CN"/>
        </w:rPr>
      </w:pPr>
      <w:r>
        <w:rPr>
          <w:rFonts w:hint="eastAsia" w:eastAsiaTheme="minorEastAsia"/>
          <w:sz w:val="20"/>
        </w:rPr>
        <w:t>D2T</w:t>
      </w:r>
      <w:r>
        <w:rPr>
          <w:rFonts w:hint="eastAsia" w:eastAsiaTheme="minorEastAsia"/>
          <w:sz w:val="20"/>
          <w:lang w:val="en-US" w:eastAsia="zh-CN"/>
        </w:rPr>
        <w:t>2</w:t>
      </w:r>
      <w:r>
        <w:rPr>
          <w:rFonts w:hint="eastAsia" w:eastAsiaTheme="minorEastAsia"/>
          <w:sz w:val="20"/>
        </w:rPr>
        <w:t>-A1/B require additional transmission nodes and coordination mechanisms, leading to increased deployment complexity and cost</w:t>
      </w:r>
      <w:r>
        <w:rPr>
          <w:rFonts w:hint="eastAsia"/>
          <w:sz w:val="20"/>
          <w:lang w:val="en-US" w:eastAsia="zh-CN"/>
        </w:rPr>
        <w:t>.</w:t>
      </w:r>
    </w:p>
    <w:p>
      <w:pPr>
        <w:pStyle w:val="63"/>
        <w:numPr>
          <w:ilvl w:val="0"/>
          <w:numId w:val="10"/>
        </w:numPr>
        <w:spacing w:beforeLines="0" w:after="120" w:afterLines="0" w:line="240" w:lineRule="auto"/>
        <w:jc w:val="left"/>
        <w:rPr>
          <w:rFonts w:hint="eastAsia"/>
          <w:sz w:val="20"/>
          <w:lang w:val="en-US" w:eastAsia="zh-CN"/>
        </w:rPr>
      </w:pPr>
      <w:r>
        <w:rPr>
          <w:rFonts w:hint="eastAsia" w:eastAsiaTheme="minorEastAsia"/>
          <w:sz w:val="20"/>
          <w:lang w:val="en-US" w:eastAsia="zh-CN"/>
        </w:rPr>
        <w:t xml:space="preserve"> D2T2-A2 topology is recommended for Device 1</w:t>
      </w:r>
      <w:r>
        <w:rPr>
          <w:rFonts w:hint="eastAsia"/>
          <w:lang w:val="en-US" w:eastAsia="zh-CN"/>
        </w:rPr>
        <w:t>.</w:t>
      </w:r>
    </w:p>
    <w:p>
      <w:pPr>
        <w:spacing w:beforeLines="0" w:after="120" w:afterLines="0" w:line="240" w:lineRule="auto"/>
        <w:rPr>
          <w:rFonts w:eastAsiaTheme="minorEastAsia"/>
          <w:sz w:val="20"/>
        </w:rPr>
      </w:pPr>
      <w:r>
        <w:rPr>
          <w:rFonts w:hint="eastAsia" w:eastAsiaTheme="minorEastAsia"/>
          <w:sz w:val="20"/>
        </w:rPr>
        <w:t xml:space="preserve">For </w:t>
      </w:r>
      <w:r>
        <w:rPr>
          <w:sz w:val="20"/>
        </w:rPr>
        <w:t>TP#2</w:t>
      </w:r>
      <w:r>
        <w:rPr>
          <w:rFonts w:hint="eastAsia" w:eastAsiaTheme="minorEastAsia"/>
          <w:sz w:val="20"/>
        </w:rPr>
        <w:t>, RRC based resource allocation is sufficient. Thus, w</w:t>
      </w:r>
      <w:r>
        <w:rPr>
          <w:rFonts w:eastAsiaTheme="minorEastAsia"/>
          <w:sz w:val="20"/>
        </w:rPr>
        <w:t xml:space="preserve">e have proposed to </w:t>
      </w:r>
      <w:r>
        <w:rPr>
          <w:sz w:val="20"/>
        </w:rPr>
        <w:t>specify the following aspects for TP#2 [4]:</w:t>
      </w:r>
    </w:p>
    <w:p>
      <w:pPr>
        <w:pStyle w:val="21"/>
        <w:numPr>
          <w:ilvl w:val="0"/>
          <w:numId w:val="9"/>
        </w:numPr>
        <w:spacing w:beforeLines="0" w:beforeAutospacing="0" w:after="120" w:afterLines="0" w:afterAutospacing="0" w:line="240" w:lineRule="auto"/>
        <w:jc w:val="both"/>
        <w:rPr>
          <w:sz w:val="20"/>
        </w:rPr>
      </w:pPr>
      <w:r>
        <w:rPr>
          <w:rFonts w:hint="eastAsia"/>
          <w:color w:val="000000"/>
          <w:sz w:val="20"/>
        </w:rPr>
        <w:t>RRC signaling to provision radio resources at the UE reader for A-IoT operation</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Dedicated signaling in RRC_CONNECTED state for configuring A-IoT radio resources</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Procedures to enable the UE to release the A-IoT resources upon cell change or moving to out of coverage</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UE assistance information from the reader to gNB for configuration of A-IoT radio resources</w:t>
      </w:r>
    </w:p>
    <w:p>
      <w:pPr>
        <w:pStyle w:val="21"/>
        <w:numPr>
          <w:ilvl w:val="0"/>
          <w:numId w:val="11"/>
        </w:numPr>
        <w:spacing w:beforeLines="0" w:beforeAutospacing="0" w:after="120" w:afterLines="0" w:afterAutospacing="0" w:line="240" w:lineRule="auto"/>
        <w:jc w:val="both"/>
        <w:rPr>
          <w:color w:val="000000"/>
          <w:sz w:val="20"/>
        </w:rPr>
      </w:pPr>
      <w:r>
        <w:rPr>
          <w:color w:val="000000"/>
          <w:sz w:val="20"/>
        </w:rPr>
        <w:t>As a second priority, support operation of A-IoT whilst the UE reader is in one of RRC_INACTIVE state or RRC_IDLE state (RAN2 to down select between INACTIVE and IDLE states)</w:t>
      </w:r>
    </w:p>
    <w:p>
      <w:pPr>
        <w:pStyle w:val="63"/>
        <w:numPr>
          <w:ilvl w:val="0"/>
          <w:numId w:val="10"/>
        </w:numPr>
        <w:spacing w:before="120" w:beforeLines="0" w:after="120" w:afterLines="0" w:line="240" w:lineRule="auto"/>
        <w:jc w:val="both"/>
        <w:rPr>
          <w:lang w:val="en-US" w:eastAsia="zh-CN"/>
        </w:rPr>
      </w:pPr>
      <w:r>
        <w:rPr>
          <w:rFonts w:hint="eastAsia"/>
          <w:lang w:val="en-US" w:eastAsia="zh-CN"/>
        </w:rPr>
        <w:t xml:space="preserve">For TP#2, </w:t>
      </w:r>
      <w:r>
        <w:t xml:space="preserve">specify </w:t>
      </w:r>
      <w:r>
        <w:rPr>
          <w:rFonts w:hint="eastAsia" w:eastAsia="宋体"/>
          <w:color w:val="000000"/>
          <w:lang w:val="en-US" w:eastAsia="zh-CN"/>
        </w:rPr>
        <w:t>RRC signaling to provision radio resources at the UE reader for A-IoT operation</w:t>
      </w:r>
      <w:r>
        <w:rPr>
          <w:rFonts w:hint="eastAsia"/>
          <w:lang w:val="en-US" w:eastAsia="zh-CN"/>
        </w:rPr>
        <w:t>.</w:t>
      </w:r>
    </w:p>
    <w:p>
      <w:pPr>
        <w:pStyle w:val="21"/>
        <w:numPr>
          <w:ilvl w:val="0"/>
          <w:numId w:val="9"/>
        </w:numPr>
        <w:spacing w:beforeLines="0" w:beforeAutospacing="0" w:after="120" w:afterLines="0" w:afterAutospacing="0" w:line="240" w:lineRule="auto"/>
        <w:jc w:val="both"/>
        <w:rPr>
          <w:b/>
          <w:bCs/>
          <w:i/>
          <w:iCs/>
          <w:color w:val="000000"/>
          <w:sz w:val="20"/>
        </w:rPr>
      </w:pPr>
      <w:r>
        <w:rPr>
          <w:rFonts w:hint="eastAsia"/>
          <w:b/>
          <w:bCs/>
          <w:i/>
          <w:iCs/>
          <w:color w:val="000000"/>
          <w:sz w:val="20"/>
        </w:rPr>
        <w:t>Dedicated signaling in RRC_CONNECTED state for configuring A-IoT radio resources</w:t>
      </w:r>
    </w:p>
    <w:p>
      <w:pPr>
        <w:pStyle w:val="21"/>
        <w:numPr>
          <w:ilvl w:val="0"/>
          <w:numId w:val="9"/>
        </w:numPr>
        <w:spacing w:beforeLines="0" w:beforeAutospacing="0" w:after="120" w:afterLines="0" w:afterAutospacing="0" w:line="240" w:lineRule="auto"/>
        <w:jc w:val="both"/>
        <w:rPr>
          <w:b/>
          <w:bCs/>
          <w:i/>
          <w:iCs/>
          <w:color w:val="000000"/>
          <w:sz w:val="20"/>
        </w:rPr>
      </w:pPr>
      <w:r>
        <w:rPr>
          <w:rFonts w:hint="eastAsia"/>
          <w:b/>
          <w:bCs/>
          <w:i/>
          <w:iCs/>
          <w:color w:val="000000"/>
          <w:sz w:val="20"/>
        </w:rPr>
        <w:t>Procedures to enable the UE to release the A-IoT resources upon cell change or moving to out of coverage</w:t>
      </w:r>
    </w:p>
    <w:p>
      <w:pPr>
        <w:pStyle w:val="21"/>
        <w:numPr>
          <w:ilvl w:val="0"/>
          <w:numId w:val="9"/>
        </w:numPr>
        <w:spacing w:beforeLines="0" w:beforeAutospacing="0" w:after="120" w:afterLines="0" w:afterAutospacing="0" w:line="240" w:lineRule="auto"/>
        <w:jc w:val="both"/>
        <w:rPr>
          <w:b/>
          <w:bCs/>
          <w:i/>
          <w:iCs/>
          <w:color w:val="000000"/>
          <w:sz w:val="20"/>
        </w:rPr>
      </w:pPr>
      <w:r>
        <w:rPr>
          <w:rFonts w:hint="eastAsia"/>
          <w:b/>
          <w:bCs/>
          <w:i/>
          <w:iCs/>
          <w:color w:val="000000"/>
          <w:sz w:val="20"/>
        </w:rPr>
        <w:t>UE assistance information from the reader to gNB for configuration of A-IoT radio resources</w:t>
      </w:r>
    </w:p>
    <w:p>
      <w:pPr>
        <w:pStyle w:val="21"/>
        <w:numPr>
          <w:ilvl w:val="0"/>
          <w:numId w:val="9"/>
        </w:numPr>
        <w:spacing w:before="120" w:beforeAutospacing="0" w:after="120" w:afterAutospacing="0"/>
      </w:pPr>
      <w:r>
        <w:rPr>
          <w:rFonts w:hint="eastAsia"/>
          <w:b/>
          <w:bCs/>
          <w:i/>
          <w:iCs/>
          <w:color w:val="000000"/>
          <w:sz w:val="20"/>
        </w:rPr>
        <w:t>As a second priority, support operation of A-IoT whilst the UE reader is in one of RRC_INACTIVE state or RRC_IDLE state (RAN2 to down select between INACTIVE and IDLE states)</w:t>
      </w:r>
    </w:p>
    <w:p>
      <w:pPr>
        <w:pStyle w:val="3"/>
        <w:spacing w:before="120" w:after="120"/>
        <w:ind w:right="210"/>
        <w:rPr>
          <w:b/>
          <w:bCs/>
        </w:rPr>
      </w:pPr>
      <w:r>
        <w:rPr>
          <w:rFonts w:hint="eastAsia"/>
          <w:b/>
          <w:bCs/>
        </w:rPr>
        <w:t>2.3 Device 2b indoor</w:t>
      </w:r>
    </w:p>
    <w:p>
      <w:pPr>
        <w:widowControl w:val="0"/>
        <w:spacing w:before="120" w:beforeLines="0" w:after="120" w:afterLines="0" w:line="240" w:lineRule="auto"/>
        <w:jc w:val="both"/>
        <w:rPr>
          <w:rFonts w:hint="eastAsia" w:ascii="Times New Roman" w:hAnsi="Times New Roman" w:cs="Times New Roman"/>
          <w:kern w:val="2"/>
          <w:sz w:val="20"/>
        </w:rPr>
      </w:pPr>
      <w:r>
        <w:rPr>
          <w:rFonts w:hint="eastAsia"/>
          <w:kern w:val="2"/>
          <w:sz w:val="20"/>
        </w:rPr>
        <w:t>According to the conclusions from RAN#107, the indoor variant of Device 2b (i.e., D1T1 and D2T2) is also recommended for consideration within the scope of Rel-20 A-IoT. However, it is important to note that specifying separate active device types for indoor and outdoor scenarios could lead to duplicated design efforts and increased frag</w:t>
      </w:r>
      <w:r>
        <w:rPr>
          <w:rFonts w:hint="eastAsia" w:ascii="Times New Roman" w:hAnsi="Times New Roman" w:cs="Times New Roman"/>
          <w:kern w:val="2"/>
          <w:sz w:val="20"/>
        </w:rPr>
        <w:t>mentation within the IoT market.</w:t>
      </w:r>
    </w:p>
    <w:p>
      <w:pPr>
        <w:widowControl w:val="0"/>
        <w:spacing w:before="120" w:beforeLines="0" w:after="120" w:afterLines="0" w:line="240" w:lineRule="auto"/>
        <w:jc w:val="both"/>
        <w:rPr>
          <w:rFonts w:hint="eastAsia" w:ascii="Times New Roman" w:hAnsi="Times New Roman" w:cs="Times New Roman"/>
          <w:kern w:val="2"/>
          <w:sz w:val="20"/>
        </w:rPr>
      </w:pPr>
      <w:r>
        <w:rPr>
          <w:rFonts w:hint="eastAsia" w:ascii="Times New Roman" w:hAnsi="Times New Roman" w:cs="Times New Roman"/>
          <w:kern w:val="2"/>
          <w:sz w:val="20"/>
        </w:rPr>
        <w:t>Instead, a more efficient approach would be to define a device type targeting outdoor use cases. For indoor deployment of active device, the same design can be reused with appropriate trimming or simplification as needed.</w:t>
      </w:r>
    </w:p>
    <w:p>
      <w:pPr>
        <w:widowControl w:val="0"/>
        <w:spacing w:before="120" w:beforeLines="0" w:after="120" w:afterLines="0" w:line="240" w:lineRule="auto"/>
        <w:jc w:val="both"/>
        <w:rPr>
          <w:rFonts w:hint="eastAsia"/>
          <w:kern w:val="2"/>
          <w:sz w:val="20"/>
        </w:rPr>
      </w:pPr>
      <w:r>
        <w:rPr>
          <w:rFonts w:hint="eastAsia" w:ascii="Times New Roman" w:hAnsi="Times New Roman" w:cs="Times New Roman"/>
          <w:kern w:val="2"/>
          <w:sz w:val="20"/>
          <w:lang w:val="en-US" w:eastAsia="zh-CN" w:bidi="ar-SA"/>
        </w:rPr>
        <w:t>Furthermore, based on the spectrum usage described in TR 38.769, both R2D and D2R links in the D2T2-C (i.e., Device 2b) utilize FDD uplink spectrum. In contrast, the spectrum usage of Device 2b in the D1T1-C configuration aligns with that of a normal FDD UE. Given this spect</w:t>
      </w:r>
      <w:r>
        <w:rPr>
          <w:rFonts w:hint="eastAsia" w:cs="Times New Roman"/>
          <w:kern w:val="2"/>
          <w:sz w:val="20"/>
          <w:lang w:val="en-US" w:eastAsia="zh-CN" w:bidi="ar-SA"/>
        </w:rPr>
        <w:t>rum usage consideration, it is recommended that Device 2b in Topology 2 be deprioritized.</w:t>
      </w:r>
    </w:p>
    <w:p>
      <w:pPr>
        <w:pStyle w:val="60"/>
        <w:spacing w:beforeLines="0" w:after="120" w:afterLines="0" w:line="240" w:lineRule="auto"/>
        <w:jc w:val="both"/>
        <w:rPr>
          <w:lang w:val="en-US" w:eastAsia="zh-CN"/>
        </w:rPr>
      </w:pPr>
      <w:r>
        <w:rPr>
          <w:rFonts w:hint="eastAsia"/>
          <w:lang w:val="en-US" w:eastAsia="zh-CN"/>
        </w:rPr>
        <w:t>S</w:t>
      </w:r>
      <w:r>
        <w:rPr>
          <w:rFonts w:hint="eastAsia" w:eastAsia="宋体"/>
          <w:lang w:val="en-US" w:eastAsia="zh-CN"/>
        </w:rPr>
        <w:t>pecifying separate active device types for indoor and outdoor scenarios could lead to duplicated design efforts and increased fragmentation within the IoT market</w:t>
      </w:r>
    </w:p>
    <w:p>
      <w:pPr>
        <w:pStyle w:val="63"/>
        <w:numPr>
          <w:ilvl w:val="0"/>
          <w:numId w:val="10"/>
        </w:numPr>
        <w:spacing w:beforeLines="0" w:after="120" w:afterLines="0" w:line="240" w:lineRule="auto"/>
        <w:jc w:val="both"/>
        <w:rPr>
          <w:lang w:val="en-US" w:eastAsia="zh-CN"/>
        </w:rPr>
      </w:pPr>
      <w:r>
        <w:rPr>
          <w:rFonts w:hint="eastAsia"/>
          <w:lang w:val="en-US" w:eastAsia="zh-CN"/>
        </w:rPr>
        <w:t>For indoor deployment of active device, the outdoor design can be reused with appropriate trimming or simplification as needed.</w:t>
      </w:r>
    </w:p>
    <w:p>
      <w:pPr>
        <w:pStyle w:val="63"/>
        <w:numPr>
          <w:ilvl w:val="0"/>
          <w:numId w:val="10"/>
        </w:numPr>
        <w:spacing w:beforeLines="0" w:after="120" w:afterLines="0" w:line="240" w:lineRule="auto"/>
        <w:jc w:val="left"/>
        <w:rPr>
          <w:rFonts w:hint="eastAsia"/>
          <w:lang w:val="en-US" w:eastAsia="zh-CN"/>
        </w:rPr>
      </w:pPr>
      <w:r>
        <w:rPr>
          <w:rFonts w:hint="eastAsia" w:cs="Times New Roman"/>
          <w:kern w:val="2"/>
          <w:sz w:val="20"/>
          <w:lang w:val="en-US" w:eastAsia="zh-CN" w:bidi="ar-SA"/>
        </w:rPr>
        <w:t>Device 2b in topology 2 is de-prioritized due to the spectrum usage issue.</w:t>
      </w:r>
    </w:p>
    <w:p>
      <w:pPr>
        <w:pStyle w:val="63"/>
        <w:numPr>
          <w:ilvl w:val="0"/>
          <w:numId w:val="0"/>
        </w:numPr>
        <w:spacing w:beforeLines="0" w:after="120" w:afterLines="0" w:line="240" w:lineRule="auto"/>
        <w:rPr>
          <w:lang w:val="en-US" w:eastAsia="zh-CN"/>
        </w:rPr>
      </w:pPr>
    </w:p>
    <w:p>
      <w:pPr>
        <w:pStyle w:val="3"/>
        <w:spacing w:before="120" w:after="120"/>
        <w:ind w:right="210"/>
        <w:rPr>
          <w:b/>
          <w:bCs/>
        </w:rPr>
      </w:pPr>
      <w:r>
        <w:rPr>
          <w:rFonts w:hint="eastAsia"/>
          <w:b/>
          <w:bCs/>
        </w:rPr>
        <w:t>2.4 Other enhancements for Rel-20</w:t>
      </w:r>
    </w:p>
    <w:p>
      <w:pPr>
        <w:widowControl w:val="0"/>
        <w:spacing w:beforeLines="0" w:after="120" w:afterLines="0" w:line="240" w:lineRule="auto"/>
        <w:rPr>
          <w:b/>
          <w:bCs/>
          <w:sz w:val="20"/>
          <w:u w:val="single"/>
        </w:rPr>
      </w:pPr>
      <w:r>
        <w:rPr>
          <w:rFonts w:hint="eastAsia"/>
          <w:b/>
          <w:bCs/>
          <w:sz w:val="20"/>
          <w:u w:val="single"/>
        </w:rPr>
        <w:t>Random access enhancement</w:t>
      </w:r>
    </w:p>
    <w:p>
      <w:pPr>
        <w:widowControl w:val="0"/>
        <w:spacing w:beforeLines="0" w:after="120" w:afterLines="0" w:line="240" w:lineRule="auto"/>
        <w:rPr>
          <w:sz w:val="20"/>
        </w:rPr>
      </w:pPr>
      <w:r>
        <w:rPr>
          <w:rFonts w:hint="eastAsia"/>
          <w:sz w:val="20"/>
        </w:rPr>
        <w:t>F</w:t>
      </w:r>
      <w:r>
        <w:rPr>
          <w:sz w:val="20"/>
        </w:rPr>
        <w:t>or contention-based random access, the slotted</w:t>
      </w:r>
      <w:r>
        <w:rPr>
          <w:rFonts w:hint="eastAsia"/>
          <w:sz w:val="20"/>
        </w:rPr>
        <w:t>-</w:t>
      </w:r>
      <w:r>
        <w:rPr>
          <w:sz w:val="20"/>
        </w:rPr>
        <w:t>ALOHA algorithm was considered in Rel-19 to reduce co</w:t>
      </w:r>
      <w:r>
        <w:rPr>
          <w:rFonts w:hint="eastAsia"/>
          <w:sz w:val="20"/>
        </w:rPr>
        <w:t>l</w:t>
      </w:r>
      <w:r>
        <w:rPr>
          <w:sz w:val="20"/>
        </w:rPr>
        <w:t>li</w:t>
      </w:r>
      <w:r>
        <w:rPr>
          <w:rFonts w:hint="eastAsia"/>
          <w:sz w:val="20"/>
        </w:rPr>
        <w:t>sion</w:t>
      </w:r>
      <w:r>
        <w:rPr>
          <w:sz w:val="20"/>
        </w:rPr>
        <w:t xml:space="preserve">. Under this approach, the device randomly selects one access occasion for the A-IoT Msg1 within the range of access occasions assigned by the reader. This method may </w:t>
      </w:r>
      <w:r>
        <w:rPr>
          <w:rFonts w:hint="eastAsia"/>
          <w:sz w:val="20"/>
        </w:rPr>
        <w:t xml:space="preserve">still </w:t>
      </w:r>
      <w:r>
        <w:rPr>
          <w:sz w:val="20"/>
        </w:rPr>
        <w:t>lead to conflicts, requiring re-access or multiple rounds of inventory.</w:t>
      </w:r>
      <w:r>
        <w:rPr>
          <w:rFonts w:hint="eastAsia"/>
          <w:sz w:val="20"/>
        </w:rPr>
        <w:t xml:space="preserve"> </w:t>
      </w:r>
      <w:r>
        <w:rPr>
          <w:sz w:val="20"/>
        </w:rPr>
        <w:t xml:space="preserve">To address this issue, several enhanced anti-collision algorithms can be considered for Rel-20, </w:t>
      </w:r>
      <w:r>
        <w:rPr>
          <w:rFonts w:hint="eastAsia"/>
          <w:sz w:val="20"/>
        </w:rPr>
        <w:t>e.g., combined algorithm of Q-selection and BTree, combined algorithm of Q-selection and ALOHA [6].</w:t>
      </w:r>
    </w:p>
    <w:p>
      <w:pPr>
        <w:widowControl w:val="0"/>
        <w:spacing w:beforeLines="0" w:after="120" w:afterLines="0" w:line="240" w:lineRule="auto"/>
        <w:rPr>
          <w:sz w:val="20"/>
        </w:rPr>
      </w:pPr>
      <w:r>
        <w:rPr>
          <w:sz w:val="20"/>
        </w:rPr>
        <w:t>Alternatively, we understand deterministic access occasion selection can be considered to reduce access collision in multiple devices paging or group paging cases, e.g., access occasion selection based on device identity.</w:t>
      </w:r>
    </w:p>
    <w:p>
      <w:pPr>
        <w:widowControl w:val="0"/>
        <w:spacing w:beforeLines="0" w:after="120" w:afterLines="0" w:line="240" w:lineRule="auto"/>
        <w:rPr>
          <w:sz w:val="20"/>
        </w:rPr>
      </w:pPr>
      <w:r>
        <w:rPr>
          <w:sz w:val="20"/>
        </w:rPr>
        <w:t xml:space="preserve">Furthermore, in Rel-19, RAN2 has studied and evaluated 2-step RA procedure. It is seen that 2-step RA provides significant gains at low and medium collision rates (see R2-2500778). 2-step RA procedure will also improve the latency of the overall RA procedure. Unified RA which includes both RN16 and the device ID in MSG1 was also considered as a compromise between the device complexity and the overall gains. However, given that new device types will be introduced in Rel-20 and low complexity devices can use the Rel-19 baseline, it is possible to directly consider 2-step RA as a possible candidate for A-IoT RACH in Rel-20. </w:t>
      </w:r>
    </w:p>
    <w:p>
      <w:pPr>
        <w:pStyle w:val="63"/>
        <w:numPr>
          <w:ilvl w:val="0"/>
          <w:numId w:val="10"/>
        </w:numPr>
        <w:spacing w:before="120" w:beforeLines="0" w:after="120" w:afterLines="0" w:line="240" w:lineRule="auto"/>
        <w:jc w:val="both"/>
        <w:rPr>
          <w:lang w:val="en-US" w:eastAsia="zh-CN"/>
        </w:rPr>
      </w:pPr>
      <w:r>
        <w:rPr>
          <w:rFonts w:hint="eastAsia"/>
          <w:lang w:val="en-US" w:eastAsia="zh-CN"/>
        </w:rPr>
        <w:t>Solutions to increase network capacity and improve access efficiency should be considered for outdoor scenario, e.g.,</w:t>
      </w:r>
      <w:r>
        <w:rPr>
          <w:rFonts w:hint="eastAsia" w:eastAsia="宋体"/>
          <w:lang w:val="en-US" w:eastAsia="zh-CN"/>
        </w:rPr>
        <w:t xml:space="preserve"> </w:t>
      </w:r>
      <w:r>
        <w:t>deterministic access occasion selection</w:t>
      </w:r>
      <w:r>
        <w:rPr>
          <w:rFonts w:hint="eastAsia"/>
          <w:lang w:val="en-US" w:eastAsia="zh-CN"/>
        </w:rPr>
        <w:t>.</w:t>
      </w:r>
    </w:p>
    <w:p>
      <w:pPr>
        <w:pStyle w:val="63"/>
        <w:numPr>
          <w:ilvl w:val="0"/>
          <w:numId w:val="10"/>
        </w:numPr>
        <w:spacing w:before="120" w:beforeLines="0" w:after="120" w:afterLines="0" w:line="240" w:lineRule="auto"/>
        <w:jc w:val="both"/>
        <w:rPr>
          <w:lang w:val="en-US" w:eastAsia="zh-CN"/>
        </w:rPr>
      </w:pPr>
      <w:r>
        <w:rPr>
          <w:lang w:val="en-US" w:eastAsia="zh-CN"/>
        </w:rPr>
        <w:t>2-step RA procedure should be considered for Rel-20 A-IoT</w:t>
      </w:r>
      <w:r>
        <w:rPr>
          <w:rFonts w:hint="eastAsia"/>
          <w:lang w:val="en-US" w:eastAsia="zh-CN"/>
        </w:rPr>
        <w:t>.</w:t>
      </w:r>
    </w:p>
    <w:p>
      <w:pPr>
        <w:widowControl w:val="0"/>
        <w:spacing w:beforeLines="0" w:after="120" w:afterLines="0" w:line="240" w:lineRule="auto"/>
        <w:rPr>
          <w:sz w:val="20"/>
        </w:rPr>
      </w:pPr>
      <w:r>
        <w:rPr>
          <w:sz w:val="20"/>
        </w:rPr>
        <w:t xml:space="preserve">In Rel-19, devices are not expected to receive parallel service request for overlapping reader scenario. Whilst it is not realistic to completely avoid overlapping coverage from readers, the restriction to avoid parallel service requests is left to network implementation in Rel-19. In Rel-20, especially with topology 2, ensuring the above restriction is not realistic. Furthermore, even for a single reader case, enabling parallel service requests is useful and is supported in other competing technologies such as RFID. Hence RAN2 agreed that this issue is properly handled in Rel-20: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widowControl w:val="0"/>
              <w:spacing w:beforeLines="0" w:afterLines="0" w:line="240" w:lineRule="auto"/>
              <w:rPr>
                <w:sz w:val="20"/>
              </w:rPr>
            </w:pPr>
            <w:r>
              <w:rPr>
                <w:sz w:val="20"/>
              </w:rPr>
              <w:t xml:space="preserve">Agreements on parallel service request </w:t>
            </w:r>
          </w:p>
          <w:p>
            <w:pPr>
              <w:widowControl w:val="0"/>
              <w:spacing w:beforeLines="0" w:afterLines="0" w:line="240" w:lineRule="auto"/>
              <w:rPr>
                <w:sz w:val="20"/>
              </w:rPr>
            </w:pPr>
            <w:r>
              <w:rPr>
                <w:sz w:val="20"/>
              </w:rPr>
              <w:t>1</w:t>
            </w:r>
            <w:r>
              <w:rPr>
                <w:sz w:val="20"/>
              </w:rPr>
              <w:tab/>
            </w:r>
            <w:r>
              <w:rPr>
                <w:sz w:val="20"/>
              </w:rPr>
              <w:t xml:space="preserve">Rel-19 devices are not expected to receive parallel service request for overlapping reader scenario based on network implementation.   Capture this in stage 2 specification.  </w:t>
            </w:r>
          </w:p>
          <w:p>
            <w:pPr>
              <w:widowControl w:val="0"/>
              <w:spacing w:beforeLines="0" w:afterLines="0" w:line="240" w:lineRule="auto"/>
              <w:rPr>
                <w:sz w:val="20"/>
              </w:rPr>
            </w:pPr>
            <w:r>
              <w:rPr>
                <w:sz w:val="20"/>
              </w:rPr>
              <w:t>2</w:t>
            </w:r>
            <w:r>
              <w:rPr>
                <w:sz w:val="20"/>
              </w:rPr>
              <w:tab/>
            </w:r>
            <w:r>
              <w:rPr>
                <w:sz w:val="20"/>
              </w:rPr>
              <w:t xml:space="preserve">The Rel-19 device always responds to the new service indicated by the received paging message applicable for that device.  Capture this in stage 3 specification.    </w:t>
            </w:r>
          </w:p>
          <w:p>
            <w:pPr>
              <w:widowControl w:val="0"/>
              <w:spacing w:beforeLines="0" w:afterLines="0" w:line="240" w:lineRule="auto"/>
              <w:rPr>
                <w:sz w:val="20"/>
              </w:rPr>
            </w:pPr>
            <w:r>
              <w:rPr>
                <w:sz w:val="20"/>
              </w:rPr>
              <w:t>3</w:t>
            </w:r>
            <w:r>
              <w:rPr>
                <w:sz w:val="20"/>
              </w:rPr>
              <w:tab/>
            </w:r>
            <w:r>
              <w:rPr>
                <w:sz w:val="20"/>
              </w:rPr>
              <w:t>Send LS to RAN3 to notify them of agreements 1 and 2</w:t>
            </w:r>
          </w:p>
          <w:p>
            <w:pPr>
              <w:widowControl w:val="0"/>
              <w:spacing w:beforeLines="0" w:after="120" w:afterLines="0" w:line="240" w:lineRule="auto"/>
              <w:rPr>
                <w:sz w:val="20"/>
              </w:rPr>
            </w:pPr>
            <w:r>
              <w:rPr>
                <w:sz w:val="20"/>
                <w:highlight w:val="yellow"/>
              </w:rPr>
              <w:t>4</w:t>
            </w:r>
            <w:r>
              <w:rPr>
                <w:sz w:val="20"/>
                <w:highlight w:val="yellow"/>
              </w:rPr>
              <w:tab/>
            </w:r>
            <w:r>
              <w:rPr>
                <w:sz w:val="20"/>
                <w:highlight w:val="yellow"/>
              </w:rPr>
              <w:t>Parallel service request for overlapping reader scenario can be addressed in Rel-20</w:t>
            </w:r>
          </w:p>
        </w:tc>
      </w:tr>
    </w:tbl>
    <w:p>
      <w:pPr>
        <w:widowControl w:val="0"/>
        <w:spacing w:beforeLines="0" w:after="120" w:afterLines="0" w:line="240" w:lineRule="auto"/>
        <w:rPr>
          <w:sz w:val="20"/>
        </w:rPr>
      </w:pPr>
    </w:p>
    <w:p>
      <w:pPr>
        <w:widowControl w:val="0"/>
        <w:spacing w:beforeLines="0" w:after="120" w:afterLines="0" w:line="240" w:lineRule="auto"/>
        <w:rPr>
          <w:sz w:val="20"/>
        </w:rPr>
      </w:pPr>
      <w:r>
        <w:rPr>
          <w:sz w:val="20"/>
        </w:rPr>
        <w:t>Based on the above, we propose the following objective:</w:t>
      </w:r>
    </w:p>
    <w:p>
      <w:pPr>
        <w:pStyle w:val="63"/>
        <w:numPr>
          <w:ilvl w:val="0"/>
          <w:numId w:val="10"/>
        </w:numPr>
        <w:spacing w:before="120" w:beforeLines="0" w:after="120" w:afterLines="0" w:line="240" w:lineRule="auto"/>
        <w:jc w:val="both"/>
        <w:rPr>
          <w:lang w:val="en-US" w:eastAsia="zh-CN"/>
        </w:rPr>
      </w:pPr>
      <w:r>
        <w:rPr>
          <w:lang w:val="en-US" w:eastAsia="zh-CN"/>
        </w:rPr>
        <w:t>Enhanced mechanisms to enable parallel service request procedures both for single reader and multi-reader scenarios should be specified in</w:t>
      </w:r>
      <w:r>
        <w:rPr>
          <w:rFonts w:hint="eastAsia"/>
          <w:lang w:val="en-US" w:eastAsia="zh-CN"/>
        </w:rPr>
        <w:t xml:space="preserve"> Rel-20.</w:t>
      </w:r>
    </w:p>
    <w:p>
      <w:pPr>
        <w:pStyle w:val="63"/>
        <w:numPr>
          <w:ilvl w:val="0"/>
          <w:numId w:val="0"/>
        </w:numPr>
        <w:spacing w:before="120" w:after="120"/>
        <w:jc w:val="both"/>
        <w:rPr>
          <w:lang w:val="en-US" w:eastAsia="zh-CN"/>
        </w:rPr>
      </w:pPr>
      <w:r>
        <w:rPr>
          <w:rFonts w:hint="eastAsia"/>
          <w:i w:val="0"/>
          <w:iCs w:val="0"/>
          <w:u w:val="single"/>
          <w:lang w:val="en-US" w:eastAsia="zh-CN"/>
        </w:rPr>
        <w:t>Device (un)availability</w:t>
      </w:r>
    </w:p>
    <w:p>
      <w:pPr>
        <w:widowControl w:val="0"/>
        <w:spacing w:beforeLines="0" w:after="120" w:afterLines="0" w:line="240" w:lineRule="auto"/>
        <w:rPr>
          <w:sz w:val="20"/>
        </w:rPr>
      </w:pPr>
      <w:r>
        <w:rPr>
          <w:rFonts w:hint="eastAsia"/>
          <w:sz w:val="20"/>
        </w:rPr>
        <w:t xml:space="preserve">Due to limited energy storage and energy harvesting capabilities, the device availability time may be shorter than its unavailability time. </w:t>
      </w:r>
    </w:p>
    <w:p>
      <w:pPr>
        <w:widowControl w:val="0"/>
        <w:spacing w:beforeLines="0" w:after="120" w:afterLines="0" w:line="240" w:lineRule="auto"/>
        <w:rPr>
          <w:sz w:val="20"/>
        </w:rPr>
      </w:pPr>
      <w:r>
        <w:rPr>
          <w:rFonts w:hint="eastAsia"/>
          <w:sz w:val="20"/>
        </w:rPr>
        <w:t xml:space="preserve">According to the current </w:t>
      </w:r>
      <w:r>
        <w:rPr>
          <w:sz w:val="20"/>
        </w:rPr>
        <w:t>slotted</w:t>
      </w:r>
      <w:r>
        <w:rPr>
          <w:rFonts w:hint="eastAsia"/>
          <w:sz w:val="20"/>
        </w:rPr>
        <w:t>-</w:t>
      </w:r>
      <w:r>
        <w:rPr>
          <w:sz w:val="20"/>
        </w:rPr>
        <w:t>ALOHA</w:t>
      </w:r>
      <w:r>
        <w:rPr>
          <w:rFonts w:hint="eastAsia"/>
          <w:sz w:val="20"/>
        </w:rPr>
        <w:t xml:space="preserve"> procedure, t</w:t>
      </w:r>
      <w:r>
        <w:rPr>
          <w:sz w:val="20"/>
        </w:rPr>
        <w:t xml:space="preserve">he </w:t>
      </w:r>
      <w:r>
        <w:rPr>
          <w:rFonts w:hint="eastAsia"/>
          <w:sz w:val="20"/>
        </w:rPr>
        <w:t xml:space="preserve">device </w:t>
      </w:r>
      <w:r>
        <w:rPr>
          <w:sz w:val="20"/>
        </w:rPr>
        <w:t xml:space="preserve">is required to </w:t>
      </w:r>
      <w:r>
        <w:rPr>
          <w:rFonts w:hint="eastAsia"/>
          <w:sz w:val="20"/>
        </w:rPr>
        <w:t xml:space="preserve">randomly select a counter from the access occasions provided by reader and continuously monitor </w:t>
      </w:r>
      <w:r>
        <w:rPr>
          <w:sz w:val="20"/>
        </w:rPr>
        <w:t xml:space="preserve">each </w:t>
      </w:r>
      <w:r>
        <w:rPr>
          <w:rFonts w:hint="eastAsia"/>
          <w:sz w:val="20"/>
        </w:rPr>
        <w:t xml:space="preserve">R2D trigger to decrease the counter </w:t>
      </w:r>
      <w:r>
        <w:rPr>
          <w:sz w:val="20"/>
        </w:rPr>
        <w:t xml:space="preserve">until </w:t>
      </w:r>
      <w:r>
        <w:rPr>
          <w:rFonts w:hint="eastAsia"/>
          <w:sz w:val="20"/>
        </w:rPr>
        <w:t>it equals to 0.</w:t>
      </w:r>
      <w:r>
        <w:rPr>
          <w:sz w:val="20"/>
        </w:rPr>
        <w:t xml:space="preserve"> </w:t>
      </w:r>
      <w:r>
        <w:rPr>
          <w:rFonts w:hint="eastAsia"/>
          <w:sz w:val="20"/>
        </w:rPr>
        <w:t>T</w:t>
      </w:r>
      <w:r>
        <w:rPr>
          <w:sz w:val="20"/>
        </w:rPr>
        <w:t xml:space="preserve">his </w:t>
      </w:r>
      <w:r>
        <w:rPr>
          <w:rFonts w:hint="eastAsia"/>
          <w:sz w:val="20"/>
        </w:rPr>
        <w:t>process significantly consumes</w:t>
      </w:r>
      <w:r>
        <w:rPr>
          <w:sz w:val="20"/>
        </w:rPr>
        <w:t xml:space="preserve"> </w:t>
      </w:r>
      <w:r>
        <w:rPr>
          <w:rFonts w:hint="eastAsia"/>
          <w:sz w:val="20"/>
        </w:rPr>
        <w:t>device energy, especially for device type 2 with relatively high power consumption. I</w:t>
      </w:r>
      <w:r>
        <w:rPr>
          <w:sz w:val="20"/>
        </w:rPr>
        <w:t xml:space="preserve">n scenarios </w:t>
      </w:r>
      <w:r>
        <w:rPr>
          <w:rFonts w:hint="eastAsia"/>
          <w:sz w:val="20"/>
        </w:rPr>
        <w:t>where involves</w:t>
      </w:r>
      <w:r>
        <w:rPr>
          <w:sz w:val="20"/>
        </w:rPr>
        <w:t xml:space="preserve"> large number of devices, </w:t>
      </w:r>
      <w:r>
        <w:rPr>
          <w:rFonts w:hint="eastAsia"/>
          <w:sz w:val="20"/>
        </w:rPr>
        <w:t xml:space="preserve">the </w:t>
      </w:r>
      <w:r>
        <w:rPr>
          <w:sz w:val="20"/>
        </w:rPr>
        <w:t xml:space="preserve">prolonged </w:t>
      </w:r>
      <w:r>
        <w:rPr>
          <w:rFonts w:hint="eastAsia"/>
          <w:sz w:val="20"/>
        </w:rPr>
        <w:t xml:space="preserve">R2D detection </w:t>
      </w:r>
      <w:r>
        <w:rPr>
          <w:sz w:val="20"/>
        </w:rPr>
        <w:t xml:space="preserve">time </w:t>
      </w:r>
      <w:r>
        <w:rPr>
          <w:rFonts w:hint="eastAsia"/>
          <w:sz w:val="20"/>
        </w:rPr>
        <w:t xml:space="preserve">may cause </w:t>
      </w:r>
      <w:r>
        <w:rPr>
          <w:sz w:val="20"/>
        </w:rPr>
        <w:t xml:space="preserve">many devices </w:t>
      </w:r>
      <w:r>
        <w:rPr>
          <w:rFonts w:hint="eastAsia"/>
          <w:sz w:val="20"/>
        </w:rPr>
        <w:t xml:space="preserve">to deplete their charge </w:t>
      </w:r>
      <w:r>
        <w:rPr>
          <w:sz w:val="20"/>
        </w:rPr>
        <w:t xml:space="preserve">before </w:t>
      </w:r>
      <w:r>
        <w:rPr>
          <w:rFonts w:hint="eastAsia"/>
          <w:sz w:val="20"/>
        </w:rPr>
        <w:t>completing</w:t>
      </w:r>
      <w:r>
        <w:rPr>
          <w:sz w:val="20"/>
        </w:rPr>
        <w:t xml:space="preserve"> the access </w:t>
      </w:r>
      <w:r>
        <w:rPr>
          <w:rFonts w:hint="eastAsia"/>
          <w:sz w:val="20"/>
        </w:rPr>
        <w:t>procedure</w:t>
      </w:r>
      <w:r>
        <w:rPr>
          <w:sz w:val="20"/>
        </w:rPr>
        <w:t>.</w:t>
      </w:r>
      <w:r>
        <w:rPr>
          <w:rFonts w:hint="eastAsia"/>
          <w:sz w:val="20"/>
        </w:rPr>
        <w:t xml:space="preserve"> Therefore, device energy conservation becomes particularly important. </w:t>
      </w:r>
    </w:p>
    <w:p>
      <w:pPr>
        <w:widowControl w:val="0"/>
        <w:spacing w:beforeLines="0" w:after="120" w:afterLines="0" w:line="240" w:lineRule="auto"/>
        <w:rPr>
          <w:sz w:val="20"/>
        </w:rPr>
      </w:pPr>
      <w:r>
        <w:rPr>
          <w:rFonts w:hint="eastAsia"/>
          <w:sz w:val="20"/>
        </w:rPr>
        <w:t>The following directions are studied to better utilize the limited device availability time due to energy harvesting, and solutions are captured in TR38.769.</w:t>
      </w:r>
    </w:p>
    <w:p>
      <w:pPr>
        <w:pStyle w:val="21"/>
        <w:numPr>
          <w:ilvl w:val="0"/>
          <w:numId w:val="9"/>
        </w:numPr>
        <w:spacing w:beforeLines="0" w:beforeAutospacing="0" w:after="120" w:afterLines="0" w:afterAutospacing="0" w:line="240" w:lineRule="auto"/>
        <w:jc w:val="both"/>
        <w:rPr>
          <w:color w:val="000000"/>
          <w:sz w:val="20"/>
        </w:rPr>
      </w:pPr>
      <w:r>
        <w:rPr>
          <w:rFonts w:hint="eastAsia"/>
          <w:color w:val="000000"/>
          <w:sz w:val="20"/>
        </w:rPr>
        <w:t>Direction 1: Reader does not provide information to a device regarding when the device may become available/unavailable.</w:t>
      </w:r>
    </w:p>
    <w:p>
      <w:pPr>
        <w:pStyle w:val="21"/>
        <w:numPr>
          <w:ilvl w:val="0"/>
          <w:numId w:val="9"/>
        </w:numPr>
        <w:spacing w:beforeLines="0" w:beforeAutospacing="0" w:after="120" w:afterLines="0" w:afterAutospacing="0" w:line="240" w:lineRule="auto"/>
        <w:jc w:val="both"/>
        <w:rPr>
          <w:color w:val="000000"/>
          <w:sz w:val="20"/>
        </w:rPr>
      </w:pPr>
      <w:r>
        <w:rPr>
          <w:rFonts w:hint="eastAsia"/>
          <w:color w:val="000000"/>
          <w:sz w:val="20"/>
        </w:rPr>
        <w:t>Direction 2: Reader can provide information to a device based on which the device may become available /unavailable.</w:t>
      </w:r>
    </w:p>
    <w:p>
      <w:pPr>
        <w:widowControl w:val="0"/>
        <w:spacing w:beforeLines="0" w:after="120" w:afterLines="0" w:line="240" w:lineRule="auto"/>
        <w:rPr>
          <w:sz w:val="20"/>
        </w:rPr>
      </w:pPr>
      <w:r>
        <w:rPr>
          <w:rFonts w:hint="eastAsia"/>
          <w:sz w:val="20"/>
        </w:rPr>
        <w:t>However, only direction 1 is considered in Rel-19 WI. Given the challenges described above for device 2, device (un)availability</w:t>
      </w:r>
      <w:r>
        <w:rPr>
          <w:rFonts w:hint="eastAsia"/>
          <w:sz w:val="20"/>
          <w:lang w:val="en-US" w:eastAsia="zh-CN"/>
        </w:rPr>
        <w:t xml:space="preserve"> issue can </w:t>
      </w:r>
      <w:r>
        <w:rPr>
          <w:rFonts w:hint="eastAsia"/>
          <w:sz w:val="20"/>
        </w:rPr>
        <w:t xml:space="preserve">be further </w:t>
      </w:r>
      <w:r>
        <w:rPr>
          <w:rFonts w:hint="eastAsia"/>
          <w:sz w:val="20"/>
          <w:lang w:val="en-US" w:eastAsia="zh-CN"/>
        </w:rPr>
        <w:t xml:space="preserve">studied </w:t>
      </w:r>
      <w:r>
        <w:rPr>
          <w:rFonts w:hint="eastAsia"/>
          <w:sz w:val="20"/>
        </w:rPr>
        <w:t xml:space="preserve">for device </w:t>
      </w:r>
      <w:r>
        <w:rPr>
          <w:rFonts w:hint="eastAsia"/>
          <w:sz w:val="20"/>
          <w:lang w:val="en-US" w:eastAsia="zh-CN"/>
        </w:rPr>
        <w:t>2b/C</w:t>
      </w:r>
      <w:r>
        <w:rPr>
          <w:rFonts w:hint="eastAsia"/>
          <w:sz w:val="20"/>
        </w:rPr>
        <w:t xml:space="preserve"> in Rel-20.</w:t>
      </w:r>
    </w:p>
    <w:p>
      <w:pPr>
        <w:pStyle w:val="63"/>
        <w:numPr>
          <w:ilvl w:val="0"/>
          <w:numId w:val="10"/>
        </w:numPr>
        <w:spacing w:before="120" w:beforeLines="0" w:after="120" w:afterLines="0" w:line="240" w:lineRule="auto"/>
        <w:jc w:val="both"/>
        <w:rPr>
          <w:lang w:val="en-US" w:eastAsia="zh-CN"/>
        </w:rPr>
      </w:pPr>
      <w:r>
        <w:rPr>
          <w:rFonts w:hint="eastAsia"/>
          <w:lang w:val="en-US" w:eastAsia="zh-CN"/>
        </w:rPr>
        <w:t>Device (un)availability can be further studied for device 2b/C in Rel-20.</w:t>
      </w:r>
    </w:p>
    <w:p>
      <w:pPr>
        <w:pStyle w:val="2"/>
        <w:spacing w:before="120" w:after="120"/>
        <w:ind w:left="0"/>
        <w:rPr>
          <w:rFonts w:eastAsia="宋体"/>
        </w:rPr>
      </w:pPr>
      <w:r>
        <w:rPr>
          <w:rFonts w:hint="eastAsia" w:eastAsia="宋体"/>
        </w:rPr>
        <w:t>Timeline and work scope for WGs</w:t>
      </w:r>
    </w:p>
    <w:p>
      <w:pPr>
        <w:pStyle w:val="21"/>
        <w:numPr>
          <w:ilvl w:val="255"/>
          <w:numId w:val="0"/>
        </w:numPr>
        <w:spacing w:before="120" w:beforeAutospacing="0" w:after="120" w:afterAutospacing="0"/>
        <w:rPr>
          <w:color w:val="000000"/>
          <w:sz w:val="20"/>
        </w:rPr>
      </w:pPr>
      <w:r>
        <w:rPr>
          <w:rFonts w:hint="eastAsia"/>
          <w:color w:val="000000"/>
          <w:sz w:val="20"/>
        </w:rPr>
        <w:t xml:space="preserve">Based on the discussion above, the key aspects for Rel-20 A-IoT can be summarized as below: </w:t>
      </w:r>
    </w:p>
    <w:p>
      <w:pPr>
        <w:pStyle w:val="21"/>
        <w:numPr>
          <w:ilvl w:val="0"/>
          <w:numId w:val="12"/>
        </w:numPr>
        <w:spacing w:before="120" w:beforeAutospacing="0" w:after="120" w:afterAutospacing="0"/>
        <w:rPr>
          <w:color w:val="000000"/>
          <w:sz w:val="20"/>
        </w:rPr>
      </w:pPr>
      <w:r>
        <w:rPr>
          <w:rFonts w:hint="eastAsia"/>
          <w:color w:val="000000"/>
          <w:sz w:val="20"/>
        </w:rPr>
        <w:t xml:space="preserve">Outdoor scenarios with device 2b/C at least in Topology 1, </w:t>
      </w:r>
    </w:p>
    <w:p>
      <w:pPr>
        <w:pStyle w:val="21"/>
        <w:numPr>
          <w:ilvl w:val="1"/>
          <w:numId w:val="12"/>
        </w:numPr>
        <w:spacing w:before="120" w:beforeAutospacing="0" w:after="120" w:afterAutospacing="0"/>
        <w:rPr>
          <w:color w:val="000000"/>
          <w:sz w:val="20"/>
        </w:rPr>
      </w:pPr>
      <w:r>
        <w:rPr>
          <w:rFonts w:hint="eastAsia"/>
          <w:color w:val="000000"/>
          <w:sz w:val="20"/>
        </w:rPr>
        <w:t xml:space="preserve">Note: device 2b indoor can reuse the outdoor designs. </w:t>
      </w:r>
    </w:p>
    <w:p>
      <w:pPr>
        <w:pStyle w:val="21"/>
        <w:numPr>
          <w:ilvl w:val="0"/>
          <w:numId w:val="12"/>
        </w:numPr>
        <w:spacing w:before="120" w:beforeAutospacing="0" w:after="120" w:afterAutospacing="0"/>
        <w:rPr>
          <w:color w:val="000000"/>
          <w:sz w:val="20"/>
        </w:rPr>
      </w:pPr>
      <w:r>
        <w:rPr>
          <w:rFonts w:hint="eastAsia"/>
          <w:color w:val="000000"/>
          <w:sz w:val="20"/>
        </w:rPr>
        <w:t>DO-A traffic,</w:t>
      </w:r>
    </w:p>
    <w:p>
      <w:pPr>
        <w:pStyle w:val="21"/>
        <w:numPr>
          <w:ilvl w:val="0"/>
          <w:numId w:val="12"/>
        </w:numPr>
        <w:spacing w:before="120" w:beforeAutospacing="0" w:after="120" w:afterAutospacing="0"/>
        <w:rPr>
          <w:color w:val="000000"/>
          <w:sz w:val="20"/>
        </w:rPr>
      </w:pPr>
      <w:r>
        <w:rPr>
          <w:rFonts w:hint="eastAsia"/>
          <w:color w:val="000000"/>
          <w:sz w:val="20"/>
        </w:rPr>
        <w:t xml:space="preserve">Topology 2 in higher layer, </w:t>
      </w:r>
    </w:p>
    <w:p>
      <w:pPr>
        <w:pStyle w:val="21"/>
        <w:numPr>
          <w:ilvl w:val="0"/>
          <w:numId w:val="12"/>
        </w:numPr>
        <w:spacing w:before="120" w:beforeAutospacing="0" w:after="120" w:afterAutospacing="0"/>
        <w:rPr>
          <w:color w:val="000000"/>
          <w:sz w:val="20"/>
        </w:rPr>
      </w:pPr>
      <w:r>
        <w:rPr>
          <w:rFonts w:hint="eastAsia"/>
          <w:color w:val="000000"/>
          <w:sz w:val="20"/>
        </w:rPr>
        <w:t>Device availability</w:t>
      </w:r>
    </w:p>
    <w:p>
      <w:pPr>
        <w:pStyle w:val="21"/>
        <w:numPr>
          <w:ilvl w:val="0"/>
          <w:numId w:val="12"/>
        </w:numPr>
        <w:spacing w:before="120" w:beforeAutospacing="0" w:after="120" w:afterAutospacing="0"/>
        <w:rPr>
          <w:color w:val="000000"/>
          <w:sz w:val="20"/>
        </w:rPr>
      </w:pPr>
      <w:r>
        <w:rPr>
          <w:rFonts w:hint="eastAsia"/>
          <w:color w:val="000000"/>
          <w:sz w:val="20"/>
        </w:rPr>
        <w:t>and relevant enhancements.</w:t>
      </w:r>
    </w:p>
    <w:p>
      <w:pPr>
        <w:pStyle w:val="21"/>
        <w:spacing w:before="120" w:beforeAutospacing="0" w:after="120" w:afterAutospacing="0"/>
        <w:jc w:val="both"/>
        <w:rPr>
          <w:color w:val="000000"/>
          <w:sz w:val="20"/>
        </w:rPr>
      </w:pPr>
      <w:r>
        <w:rPr>
          <w:rFonts w:hint="eastAsia"/>
          <w:color w:val="000000"/>
          <w:sz w:val="20"/>
        </w:rPr>
        <w:t>Considering the urgent market needs for outdoor uses cases, a 6-month study item followed by a 12-month work item is suggested. The following scope for each WG is suggested.</w:t>
      </w:r>
    </w:p>
    <w:p>
      <w:pPr>
        <w:pStyle w:val="63"/>
        <w:numPr>
          <w:ilvl w:val="0"/>
          <w:numId w:val="10"/>
        </w:numPr>
        <w:spacing w:before="120" w:beforeLines="0" w:after="120" w:afterLines="0" w:line="240" w:lineRule="auto"/>
        <w:jc w:val="both"/>
        <w:rPr>
          <w:color w:val="000000"/>
        </w:rPr>
      </w:pPr>
      <w:r>
        <w:rPr>
          <w:rFonts w:hint="eastAsia"/>
          <w:color w:val="000000"/>
          <w:lang w:val="en-US" w:eastAsia="zh-CN"/>
        </w:rPr>
        <w:t>Consider the following scope for each WG in Rel-20.</w:t>
      </w:r>
    </w:p>
    <w:p>
      <w:pPr>
        <w:pStyle w:val="21"/>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Outdoor scenario(SI+WI): led by RAN1</w:t>
      </w:r>
    </w:p>
    <w:p>
      <w:pPr>
        <w:pStyle w:val="21"/>
        <w:numPr>
          <w:ilvl w:val="8"/>
          <w:numId w:val="0"/>
        </w:numPr>
        <w:spacing w:before="120" w:beforeAutospacing="0" w:after="120" w:afterAutospacing="0"/>
        <w:ind w:left="210" w:leftChars="100"/>
        <w:rPr>
          <w:b/>
          <w:bCs/>
          <w:i/>
          <w:iCs/>
          <w:color w:val="000000"/>
          <w:sz w:val="20"/>
          <w:u w:val="single"/>
        </w:rPr>
      </w:pPr>
      <w:r>
        <w:rPr>
          <w:rFonts w:hint="eastAsia"/>
          <w:b/>
          <w:bCs/>
          <w:i/>
          <w:iCs/>
          <w:color w:val="000000"/>
          <w:sz w:val="20"/>
          <w:u w:val="single"/>
        </w:rPr>
        <w:t>RAN1</w:t>
      </w:r>
    </w:p>
    <w:p>
      <w:pPr>
        <w:pStyle w:val="21"/>
        <w:numPr>
          <w:ilvl w:val="0"/>
          <w:numId w:val="12"/>
        </w:numPr>
        <w:spacing w:before="120" w:beforeAutospacing="0" w:after="120" w:afterAutospacing="0"/>
        <w:ind w:left="210" w:leftChars="100"/>
        <w:rPr>
          <w:b/>
          <w:bCs/>
          <w:i/>
          <w:iCs/>
          <w:color w:val="000000"/>
          <w:sz w:val="20"/>
        </w:rPr>
      </w:pPr>
      <w:r>
        <w:rPr>
          <w:rFonts w:hint="eastAsia"/>
          <w:b/>
          <w:bCs/>
          <w:i/>
          <w:iCs/>
          <w:color w:val="000000"/>
          <w:sz w:val="20"/>
        </w:rPr>
        <w:t xml:space="preserve">Study and specify device 2b/C </w:t>
      </w:r>
      <w:r>
        <w:rPr>
          <w:rFonts w:hint="eastAsia"/>
          <w:b/>
          <w:bCs/>
          <w:i/>
          <w:iCs/>
          <w:color w:val="000000"/>
          <w:sz w:val="20"/>
          <w:lang w:val="en-US" w:eastAsia="zh-CN"/>
        </w:rPr>
        <w:t xml:space="preserve">in Topology 1 </w:t>
      </w:r>
      <w:r>
        <w:rPr>
          <w:rFonts w:hint="eastAsia"/>
          <w:b/>
          <w:bCs/>
          <w:i/>
          <w:iCs/>
          <w:color w:val="000000"/>
          <w:sz w:val="20"/>
        </w:rPr>
        <w:t>for outdoor inventory/command/sensor, including the evaluation of coverage, synchronization</w:t>
      </w:r>
      <w:r>
        <w:rPr>
          <w:rFonts w:hint="eastAsia"/>
          <w:b/>
          <w:bCs/>
          <w:i/>
          <w:iCs/>
          <w:color w:val="000000"/>
          <w:sz w:val="20"/>
          <w:lang w:val="en-US" w:eastAsia="zh-CN"/>
        </w:rPr>
        <w:t xml:space="preserve">, </w:t>
      </w:r>
      <w:r>
        <w:rPr>
          <w:rFonts w:hint="eastAsia"/>
          <w:b/>
          <w:bCs/>
          <w:i/>
          <w:iCs/>
          <w:color w:val="000000"/>
          <w:sz w:val="20"/>
        </w:rPr>
        <w:t>device (un)availability and necessary enhancements</w:t>
      </w:r>
    </w:p>
    <w:p>
      <w:pPr>
        <w:pStyle w:val="21"/>
        <w:numPr>
          <w:ilvl w:val="8"/>
          <w:numId w:val="0"/>
        </w:numPr>
        <w:spacing w:before="120" w:beforeAutospacing="0" w:after="120" w:afterAutospacing="0"/>
        <w:ind w:left="210" w:leftChars="100"/>
        <w:rPr>
          <w:b/>
          <w:bCs/>
          <w:i/>
          <w:iCs/>
          <w:color w:val="000000"/>
          <w:sz w:val="20"/>
          <w:u w:val="single"/>
        </w:rPr>
      </w:pPr>
      <w:r>
        <w:rPr>
          <w:rFonts w:hint="eastAsia"/>
          <w:b/>
          <w:bCs/>
          <w:i/>
          <w:iCs/>
          <w:color w:val="000000"/>
          <w:sz w:val="20"/>
          <w:u w:val="single"/>
        </w:rPr>
        <w:t>RAN2/3</w:t>
      </w:r>
    </w:p>
    <w:p>
      <w:pPr>
        <w:pStyle w:val="21"/>
        <w:numPr>
          <w:ilvl w:val="0"/>
          <w:numId w:val="12"/>
        </w:numPr>
        <w:spacing w:before="120" w:beforeAutospacing="0" w:after="120" w:afterAutospacing="0"/>
        <w:ind w:left="210" w:leftChars="100"/>
        <w:rPr>
          <w:b/>
          <w:bCs/>
          <w:i/>
          <w:iCs/>
          <w:color w:val="000000"/>
          <w:sz w:val="20"/>
        </w:rPr>
      </w:pPr>
      <w:r>
        <w:rPr>
          <w:rFonts w:hint="eastAsia"/>
          <w:b/>
          <w:bCs/>
          <w:i/>
          <w:iCs/>
          <w:color w:val="000000"/>
          <w:sz w:val="20"/>
        </w:rPr>
        <w:t xml:space="preserve">Study and specify procedures </w:t>
      </w:r>
      <w:r>
        <w:rPr>
          <w:rFonts w:hint="eastAsia"/>
          <w:b/>
          <w:bCs/>
          <w:i/>
          <w:iCs/>
          <w:color w:val="000000"/>
          <w:sz w:val="20"/>
          <w:lang w:val="en-US" w:eastAsia="zh-CN"/>
        </w:rPr>
        <w:t xml:space="preserve">of </w:t>
      </w:r>
      <w:r>
        <w:rPr>
          <w:rFonts w:hint="eastAsia"/>
          <w:b/>
          <w:bCs/>
          <w:i/>
          <w:iCs/>
          <w:color w:val="000000"/>
          <w:sz w:val="20"/>
        </w:rPr>
        <w:t xml:space="preserve">device 2b/C </w:t>
      </w:r>
      <w:r>
        <w:rPr>
          <w:rFonts w:hint="eastAsia"/>
          <w:b/>
          <w:bCs/>
          <w:i/>
          <w:iCs/>
          <w:color w:val="000000"/>
          <w:sz w:val="20"/>
          <w:lang w:val="en-US" w:eastAsia="zh-CN"/>
        </w:rPr>
        <w:t xml:space="preserve">in Topology 1 </w:t>
      </w:r>
      <w:r>
        <w:rPr>
          <w:rFonts w:hint="eastAsia"/>
          <w:b/>
          <w:bCs/>
          <w:i/>
          <w:iCs/>
          <w:color w:val="000000"/>
          <w:sz w:val="20"/>
        </w:rPr>
        <w:t>to support outdoor inventory/command/sensor, including enhancements to support DO-A traffic</w:t>
      </w:r>
    </w:p>
    <w:p>
      <w:pPr>
        <w:pStyle w:val="21"/>
        <w:numPr>
          <w:ilvl w:val="8"/>
          <w:numId w:val="0"/>
        </w:numPr>
        <w:spacing w:before="120" w:beforeAutospacing="0" w:after="120" w:afterAutospacing="0"/>
        <w:ind w:left="210" w:leftChars="100"/>
        <w:rPr>
          <w:b/>
          <w:bCs/>
          <w:i/>
          <w:iCs/>
          <w:color w:val="000000"/>
          <w:sz w:val="20"/>
          <w:u w:val="single"/>
        </w:rPr>
      </w:pPr>
      <w:r>
        <w:rPr>
          <w:rFonts w:hint="eastAsia"/>
          <w:b/>
          <w:bCs/>
          <w:i/>
          <w:iCs/>
          <w:color w:val="000000"/>
          <w:sz w:val="20"/>
          <w:u w:val="single"/>
        </w:rPr>
        <w:t>RAN4</w:t>
      </w:r>
    </w:p>
    <w:p>
      <w:pPr>
        <w:pStyle w:val="21"/>
        <w:numPr>
          <w:ilvl w:val="0"/>
          <w:numId w:val="12"/>
        </w:numPr>
        <w:spacing w:before="120" w:beforeAutospacing="0" w:after="120" w:afterAutospacing="0"/>
        <w:ind w:left="210" w:leftChars="100"/>
        <w:rPr>
          <w:b/>
          <w:bCs/>
          <w:i/>
          <w:iCs/>
          <w:color w:val="000000"/>
          <w:sz w:val="20"/>
          <w:u w:val="single"/>
        </w:rPr>
      </w:pPr>
      <w:r>
        <w:rPr>
          <w:rFonts w:hint="eastAsia"/>
          <w:b/>
          <w:bCs/>
          <w:i/>
          <w:iCs/>
          <w:color w:val="000000"/>
          <w:sz w:val="20"/>
        </w:rPr>
        <w:t xml:space="preserve">Study and specify requirements </w:t>
      </w:r>
      <w:r>
        <w:rPr>
          <w:rFonts w:hint="eastAsia"/>
          <w:b/>
          <w:bCs/>
          <w:i/>
          <w:iCs/>
          <w:color w:val="000000"/>
          <w:sz w:val="20"/>
          <w:lang w:val="en-US" w:eastAsia="zh-CN"/>
        </w:rPr>
        <w:t xml:space="preserve">of </w:t>
      </w:r>
      <w:r>
        <w:rPr>
          <w:rFonts w:hint="eastAsia"/>
          <w:b/>
          <w:bCs/>
          <w:i/>
          <w:iCs/>
          <w:color w:val="000000"/>
          <w:sz w:val="20"/>
        </w:rPr>
        <w:t>device 2b/C</w:t>
      </w:r>
      <w:r>
        <w:rPr>
          <w:rFonts w:hint="eastAsia"/>
          <w:b/>
          <w:bCs/>
          <w:i/>
          <w:iCs/>
          <w:color w:val="000000"/>
          <w:sz w:val="20"/>
          <w:lang w:val="en-US" w:eastAsia="zh-CN"/>
        </w:rPr>
        <w:t xml:space="preserve"> and applicable BS</w:t>
      </w:r>
      <w:r>
        <w:rPr>
          <w:rFonts w:hint="eastAsia"/>
          <w:b/>
          <w:bCs/>
          <w:i/>
          <w:iCs/>
          <w:color w:val="000000"/>
          <w:sz w:val="20"/>
        </w:rPr>
        <w:t xml:space="preserve"> </w:t>
      </w:r>
      <w:r>
        <w:rPr>
          <w:rFonts w:hint="eastAsia"/>
          <w:b/>
          <w:bCs/>
          <w:i/>
          <w:iCs/>
          <w:color w:val="000000"/>
          <w:sz w:val="20"/>
          <w:lang w:val="en-US" w:eastAsia="zh-CN"/>
        </w:rPr>
        <w:t xml:space="preserve">in Topology 1 </w:t>
      </w:r>
      <w:r>
        <w:rPr>
          <w:rFonts w:hint="eastAsia"/>
          <w:b/>
          <w:bCs/>
          <w:i/>
          <w:iCs/>
          <w:color w:val="000000"/>
          <w:sz w:val="20"/>
        </w:rPr>
        <w:t>for outdoor scenario, including the evaluation of co-existence with NR</w:t>
      </w:r>
    </w:p>
    <w:p>
      <w:pPr>
        <w:pStyle w:val="21"/>
        <w:spacing w:before="120" w:beforeAutospacing="0" w:after="120" w:afterAutospacing="0"/>
        <w:ind w:left="210" w:leftChars="100"/>
        <w:rPr>
          <w:b/>
          <w:bCs/>
          <w:i/>
          <w:iCs/>
          <w:color w:val="000000"/>
          <w:sz w:val="20"/>
          <w:u w:val="single"/>
        </w:rPr>
      </w:pPr>
    </w:p>
    <w:p>
      <w:pPr>
        <w:pStyle w:val="21"/>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Topology 2(WI): led by RAN2</w:t>
      </w:r>
    </w:p>
    <w:p>
      <w:pPr>
        <w:pStyle w:val="21"/>
        <w:numPr>
          <w:ilvl w:val="0"/>
          <w:numId w:val="0"/>
        </w:numPr>
        <w:spacing w:before="120" w:beforeAutospacing="0" w:after="120" w:afterAutospacing="0"/>
        <w:ind w:leftChars="100"/>
        <w:rPr>
          <w:b/>
          <w:bCs/>
          <w:i/>
          <w:iCs/>
          <w:strike w:val="0"/>
          <w:dstrike w:val="0"/>
          <w:color w:val="000000"/>
          <w:sz w:val="20"/>
          <w:u w:val="single"/>
        </w:rPr>
      </w:pPr>
      <w:r>
        <w:rPr>
          <w:rFonts w:hint="eastAsia"/>
          <w:b/>
          <w:bCs/>
          <w:i/>
          <w:iCs/>
          <w:color w:val="000000"/>
          <w:sz w:val="20"/>
          <w:u w:val="single"/>
        </w:rPr>
        <w:t>R</w:t>
      </w:r>
      <w:r>
        <w:rPr>
          <w:rFonts w:hint="eastAsia"/>
          <w:b/>
          <w:bCs/>
          <w:i/>
          <w:iCs/>
          <w:strike w:val="0"/>
          <w:dstrike w:val="0"/>
          <w:color w:val="000000"/>
          <w:sz w:val="20"/>
          <w:u w:val="single"/>
        </w:rPr>
        <w:t>AN2</w:t>
      </w:r>
    </w:p>
    <w:p>
      <w:pPr>
        <w:pStyle w:val="21"/>
        <w:numPr>
          <w:ilvl w:val="0"/>
          <w:numId w:val="12"/>
        </w:numPr>
        <w:spacing w:before="120" w:beforeAutospacing="0" w:after="120" w:afterAutospacing="0"/>
        <w:ind w:left="210" w:leftChars="100"/>
        <w:rPr>
          <w:b/>
          <w:bCs/>
          <w:i/>
          <w:iCs/>
          <w:strike w:val="0"/>
          <w:dstrike w:val="0"/>
          <w:color w:val="000000"/>
          <w:sz w:val="20"/>
        </w:rPr>
      </w:pPr>
      <w:r>
        <w:rPr>
          <w:b/>
          <w:bCs/>
          <w:i/>
          <w:iCs/>
          <w:strike w:val="0"/>
          <w:dstrike w:val="0"/>
          <w:sz w:val="20"/>
        </w:rPr>
        <w:t>Protocol enhancements to support</w:t>
      </w:r>
      <w:r>
        <w:rPr>
          <w:rFonts w:hint="eastAsia"/>
          <w:b/>
          <w:bCs/>
          <w:i/>
          <w:iCs/>
          <w:strike w:val="0"/>
          <w:dstrike w:val="0"/>
          <w:sz w:val="20"/>
        </w:rPr>
        <w:t xml:space="preserve"> </w:t>
      </w:r>
      <w:r>
        <w:rPr>
          <w:rFonts w:hint="eastAsia"/>
          <w:b/>
          <w:bCs/>
          <w:i/>
          <w:iCs/>
          <w:strike w:val="0"/>
          <w:dstrike w:val="0"/>
          <w:color w:val="000000"/>
          <w:sz w:val="20"/>
        </w:rPr>
        <w:t>Topology 2</w:t>
      </w:r>
    </w:p>
    <w:p>
      <w:pPr>
        <w:pStyle w:val="21"/>
        <w:numPr>
          <w:ilvl w:val="0"/>
          <w:numId w:val="12"/>
        </w:numPr>
        <w:spacing w:before="120" w:beforeAutospacing="0" w:after="120" w:afterAutospacing="0"/>
        <w:ind w:left="210" w:leftChars="100"/>
        <w:rPr>
          <w:b/>
          <w:bCs/>
          <w:i/>
          <w:iCs/>
          <w:strike w:val="0"/>
          <w:dstrike w:val="0"/>
          <w:sz w:val="20"/>
        </w:rPr>
      </w:pPr>
      <w:r>
        <w:rPr>
          <w:rFonts w:hint="eastAsia"/>
          <w:b/>
          <w:bCs/>
          <w:i/>
          <w:iCs/>
          <w:strike w:val="0"/>
          <w:dstrike w:val="0"/>
          <w:sz w:val="20"/>
        </w:rPr>
        <w:t>Enhancements to the random access procedure</w:t>
      </w:r>
      <w:r>
        <w:rPr>
          <w:b/>
          <w:bCs/>
          <w:i/>
          <w:iCs/>
          <w:strike w:val="0"/>
          <w:dstrike w:val="0"/>
          <w:sz w:val="20"/>
        </w:rPr>
        <w:t xml:space="preserve"> including support of 2-step RACH</w:t>
      </w:r>
    </w:p>
    <w:p>
      <w:pPr>
        <w:pStyle w:val="21"/>
        <w:numPr>
          <w:ilvl w:val="0"/>
          <w:numId w:val="12"/>
        </w:numPr>
        <w:spacing w:before="120" w:beforeAutospacing="0" w:after="120" w:afterAutospacing="0"/>
        <w:ind w:left="210" w:leftChars="100"/>
        <w:rPr>
          <w:b/>
          <w:bCs/>
          <w:i/>
          <w:iCs/>
          <w:strike w:val="0"/>
          <w:color w:val="000000"/>
          <w:sz w:val="20"/>
        </w:rPr>
      </w:pPr>
      <w:r>
        <w:rPr>
          <w:b/>
          <w:bCs/>
          <w:i/>
          <w:iCs/>
          <w:strike w:val="0"/>
          <w:dstrike w:val="0"/>
          <w:sz w:val="20"/>
        </w:rPr>
        <w:t>Enhancements to avoid duplicate responses to the same service request</w:t>
      </w:r>
    </w:p>
    <w:p>
      <w:pPr>
        <w:pStyle w:val="21"/>
        <w:numPr>
          <w:ilvl w:val="8"/>
          <w:numId w:val="0"/>
        </w:numPr>
        <w:spacing w:before="120" w:beforeAutospacing="0" w:after="120" w:afterAutospacing="0"/>
        <w:ind w:left="210" w:leftChars="100"/>
        <w:rPr>
          <w:b/>
          <w:bCs/>
          <w:i/>
          <w:iCs/>
          <w:strike w:val="0"/>
          <w:color w:val="000000"/>
          <w:sz w:val="20"/>
          <w:u w:val="single"/>
        </w:rPr>
      </w:pPr>
      <w:r>
        <w:rPr>
          <w:rFonts w:hint="eastAsia"/>
          <w:b/>
          <w:bCs/>
          <w:i/>
          <w:iCs/>
          <w:strike w:val="0"/>
          <w:color w:val="000000"/>
          <w:sz w:val="20"/>
          <w:u w:val="single"/>
        </w:rPr>
        <w:t>RAN3</w:t>
      </w:r>
    </w:p>
    <w:p>
      <w:pPr>
        <w:pStyle w:val="21"/>
        <w:numPr>
          <w:ilvl w:val="0"/>
          <w:numId w:val="12"/>
        </w:numPr>
        <w:spacing w:before="120" w:beforeAutospacing="0" w:after="120" w:afterAutospacing="0"/>
        <w:ind w:left="210" w:leftChars="100"/>
        <w:rPr>
          <w:b/>
          <w:bCs/>
          <w:i/>
          <w:iCs/>
          <w:strike w:val="0"/>
          <w:color w:val="000000"/>
          <w:sz w:val="20"/>
        </w:rPr>
      </w:pPr>
      <w:r>
        <w:rPr>
          <w:rFonts w:hint="eastAsia"/>
          <w:b/>
          <w:bCs/>
          <w:i/>
          <w:iCs/>
          <w:strike w:val="0"/>
          <w:color w:val="000000"/>
          <w:sz w:val="20"/>
        </w:rPr>
        <w:t>Protocol stack and signalling support for Topology 2</w:t>
      </w:r>
    </w:p>
    <w:p>
      <w:pPr>
        <w:pStyle w:val="21"/>
        <w:numPr>
          <w:ilvl w:val="8"/>
          <w:numId w:val="0"/>
        </w:numPr>
        <w:spacing w:before="120" w:beforeAutospacing="0" w:after="120" w:afterAutospacing="0"/>
        <w:ind w:left="210" w:leftChars="100"/>
        <w:rPr>
          <w:b/>
          <w:bCs/>
          <w:i/>
          <w:iCs/>
          <w:color w:val="000000"/>
          <w:sz w:val="20"/>
          <w:u w:val="single"/>
        </w:rPr>
      </w:pPr>
      <w:r>
        <w:rPr>
          <w:rFonts w:hint="eastAsia"/>
          <w:b/>
          <w:bCs/>
          <w:i/>
          <w:iCs/>
          <w:color w:val="000000"/>
          <w:sz w:val="20"/>
          <w:u w:val="single"/>
        </w:rPr>
        <w:t>RAN4</w:t>
      </w:r>
    </w:p>
    <w:p>
      <w:pPr>
        <w:pStyle w:val="21"/>
        <w:numPr>
          <w:ilvl w:val="0"/>
          <w:numId w:val="12"/>
        </w:numPr>
        <w:spacing w:before="120" w:beforeAutospacing="0" w:after="120" w:afterAutospacing="0"/>
        <w:ind w:left="210" w:leftChars="100"/>
        <w:rPr>
          <w:b/>
          <w:bCs/>
          <w:i/>
          <w:iCs/>
          <w:color w:val="000000"/>
          <w:sz w:val="20"/>
        </w:rPr>
      </w:pPr>
      <w:r>
        <w:rPr>
          <w:rFonts w:hint="eastAsia"/>
          <w:b/>
          <w:bCs/>
          <w:i/>
          <w:iCs/>
          <w:color w:val="000000"/>
          <w:sz w:val="20"/>
        </w:rPr>
        <w:t>RF/RRM/de-modulation requirements of readers</w:t>
      </w:r>
    </w:p>
    <w:p>
      <w:pPr>
        <w:pStyle w:val="21"/>
        <w:spacing w:before="120" w:beforeAutospacing="0" w:after="120" w:afterAutospacing="0"/>
        <w:ind w:left="210" w:leftChars="100"/>
        <w:rPr>
          <w:b/>
          <w:bCs/>
          <w:i/>
          <w:iCs/>
          <w:color w:val="000000"/>
          <w:sz w:val="20"/>
        </w:rPr>
      </w:pPr>
    </w:p>
    <w:p>
      <w:pPr>
        <w:pStyle w:val="2"/>
        <w:spacing w:before="120" w:after="120"/>
        <w:ind w:left="0"/>
        <w:rPr>
          <w:rFonts w:eastAsia="宋体"/>
        </w:rPr>
      </w:pPr>
      <w:r>
        <w:rPr>
          <w:rFonts w:eastAsia="宋体"/>
        </w:rPr>
        <w:t>Conclusion</w:t>
      </w:r>
    </w:p>
    <w:p>
      <w:pPr>
        <w:spacing w:before="120" w:after="120"/>
        <w:rPr>
          <w:sz w:val="20"/>
        </w:rPr>
      </w:pPr>
      <w:r>
        <w:rPr>
          <w:sz w:val="20"/>
        </w:rPr>
        <w:t>Based on the above</w:t>
      </w:r>
      <w:r>
        <w:rPr>
          <w:rFonts w:hint="eastAsia"/>
          <w:sz w:val="20"/>
        </w:rPr>
        <w:t xml:space="preserve"> </w:t>
      </w:r>
      <w:r>
        <w:rPr>
          <w:sz w:val="20"/>
        </w:rPr>
        <w:t xml:space="preserve">discussion about Rel-20 </w:t>
      </w:r>
      <w:r>
        <w:rPr>
          <w:rFonts w:hint="eastAsia"/>
          <w:sz w:val="20"/>
        </w:rPr>
        <w:t>A-IoT</w:t>
      </w:r>
      <w:r>
        <w:rPr>
          <w:sz w:val="20"/>
        </w:rPr>
        <w:t xml:space="preserve"> </w:t>
      </w:r>
      <w:r>
        <w:rPr>
          <w:rFonts w:hint="eastAsia"/>
          <w:sz w:val="20"/>
        </w:rPr>
        <w:t>scope</w:t>
      </w:r>
      <w:r>
        <w:rPr>
          <w:sz w:val="20"/>
        </w:rPr>
        <w:t>, we have the following observations and proposals:</w:t>
      </w:r>
    </w:p>
    <w:p>
      <w:pPr>
        <w:pStyle w:val="60"/>
        <w:numPr>
          <w:ilvl w:val="0"/>
          <w:numId w:val="13"/>
        </w:numPr>
        <w:spacing w:beforeLines="0" w:after="120" w:afterLines="0" w:line="240" w:lineRule="auto"/>
        <w:jc w:val="both"/>
        <w:rPr>
          <w:lang w:val="en-US" w:eastAsia="zh-CN"/>
        </w:rPr>
      </w:pPr>
      <w:r>
        <w:rPr>
          <w:rFonts w:hint="eastAsia"/>
          <w:lang w:val="en-US" w:eastAsia="zh-CN"/>
        </w:rPr>
        <w:t>Co-existence with NR and providing similar coverage as NR are critical to extend the A-IoT use cases to outdoor.</w:t>
      </w:r>
    </w:p>
    <w:p>
      <w:pPr>
        <w:pStyle w:val="60"/>
        <w:jc w:val="both"/>
        <w:rPr>
          <w:rFonts w:hint="eastAsia" w:eastAsiaTheme="minorEastAsia"/>
          <w:sz w:val="20"/>
          <w:lang w:val="en-US" w:eastAsia="zh-CN"/>
        </w:rPr>
      </w:pPr>
      <w:r>
        <w:rPr>
          <w:rFonts w:hint="eastAsia" w:eastAsiaTheme="minorEastAsia"/>
          <w:sz w:val="20"/>
        </w:rPr>
        <w:t>D2T</w:t>
      </w:r>
      <w:r>
        <w:rPr>
          <w:rFonts w:hint="eastAsia" w:eastAsiaTheme="minorEastAsia"/>
          <w:sz w:val="20"/>
          <w:lang w:val="en-US" w:eastAsia="zh-CN"/>
        </w:rPr>
        <w:t>2</w:t>
      </w:r>
      <w:r>
        <w:rPr>
          <w:rFonts w:hint="eastAsia" w:eastAsiaTheme="minorEastAsia"/>
          <w:sz w:val="20"/>
        </w:rPr>
        <w:t>-A1/B require additional transmission nodes and coordination mechanisms, leading to increased deployment complexity and cost</w:t>
      </w:r>
      <w:r>
        <w:rPr>
          <w:rFonts w:hint="eastAsia"/>
          <w:sz w:val="20"/>
          <w:lang w:val="en-US" w:eastAsia="zh-CN"/>
        </w:rPr>
        <w:t>.</w:t>
      </w:r>
    </w:p>
    <w:p>
      <w:pPr>
        <w:pStyle w:val="60"/>
        <w:spacing w:beforeLines="0" w:after="120" w:afterLines="0" w:line="240" w:lineRule="auto"/>
        <w:jc w:val="both"/>
        <w:rPr>
          <w:lang w:val="en-US" w:eastAsia="zh-CN"/>
        </w:rPr>
      </w:pPr>
      <w:r>
        <w:rPr>
          <w:rFonts w:hint="eastAsia"/>
          <w:lang w:val="en-US" w:eastAsia="zh-CN"/>
        </w:rPr>
        <w:t>S</w:t>
      </w:r>
      <w:r>
        <w:rPr>
          <w:rFonts w:hint="eastAsia" w:eastAsia="宋体"/>
          <w:lang w:val="en-US" w:eastAsia="zh-CN"/>
        </w:rPr>
        <w:t>pecifying separate active device types for indoor and outdoor scenarios could lead to duplicated design efforts and increased fragmentation within the IoT market</w:t>
      </w:r>
    </w:p>
    <w:p>
      <w:pPr>
        <w:pStyle w:val="60"/>
        <w:numPr>
          <w:ilvl w:val="0"/>
          <w:numId w:val="0"/>
        </w:numPr>
        <w:tabs>
          <w:tab w:val="clear" w:pos="0"/>
        </w:tabs>
        <w:spacing w:beforeLines="0" w:after="120" w:afterLines="0" w:line="240" w:lineRule="auto"/>
        <w:jc w:val="both"/>
        <w:rPr>
          <w:lang w:val="en-US" w:eastAsia="zh-CN"/>
        </w:rPr>
      </w:pPr>
    </w:p>
    <w:p>
      <w:pPr>
        <w:spacing w:before="120" w:after="120"/>
        <w:rPr>
          <w:sz w:val="20"/>
        </w:rPr>
      </w:pPr>
    </w:p>
    <w:p>
      <w:pPr>
        <w:pStyle w:val="63"/>
        <w:numPr>
          <w:ilvl w:val="0"/>
          <w:numId w:val="14"/>
        </w:numPr>
        <w:spacing w:before="120" w:beforeLines="0" w:after="120" w:afterLines="0" w:line="240" w:lineRule="auto"/>
        <w:jc w:val="both"/>
        <w:rPr>
          <w:rFonts w:ascii="Arial" w:hAnsi="Arial" w:cs="Arial"/>
        </w:rPr>
      </w:pPr>
      <w:r>
        <w:rPr>
          <w:rFonts w:hint="eastAsia"/>
          <w:lang w:val="en-US" w:eastAsia="zh-CN"/>
        </w:rPr>
        <w:t>Support outdoor inventory/command/sensor for Rel-20 A-IoT.</w:t>
      </w:r>
    </w:p>
    <w:p>
      <w:pPr>
        <w:pStyle w:val="63"/>
        <w:numPr>
          <w:ilvl w:val="0"/>
          <w:numId w:val="10"/>
        </w:numPr>
        <w:spacing w:before="120" w:beforeLines="0" w:after="120" w:afterLines="0" w:line="240" w:lineRule="auto"/>
        <w:jc w:val="both"/>
        <w:rPr>
          <w:lang w:val="en-US" w:eastAsia="zh-CN"/>
        </w:rPr>
      </w:pPr>
      <w:r>
        <w:rPr>
          <w:rFonts w:hint="eastAsia"/>
          <w:lang w:val="en-US" w:eastAsia="zh-CN"/>
        </w:rPr>
        <w:t>Solutions to enable better co-existence between A-IoT and NR need to be considered for outdoor scenarios.</w:t>
      </w:r>
    </w:p>
    <w:p>
      <w:pPr>
        <w:pStyle w:val="63"/>
        <w:numPr>
          <w:ilvl w:val="0"/>
          <w:numId w:val="10"/>
        </w:numPr>
        <w:spacing w:before="120" w:beforeLines="0" w:after="120" w:afterLines="0" w:line="240" w:lineRule="auto"/>
        <w:jc w:val="both"/>
        <w:rPr>
          <w:lang w:val="en-US" w:eastAsia="zh-CN"/>
        </w:rPr>
      </w:pPr>
      <w:r>
        <w:rPr>
          <w:rFonts w:hint="eastAsia"/>
          <w:lang w:val="en-US" w:eastAsia="zh-CN"/>
        </w:rPr>
        <w:t>Device 2b/C is introduced to support outdoor scenarios in Rel-20 A-IoT.</w:t>
      </w:r>
    </w:p>
    <w:p>
      <w:pPr>
        <w:pStyle w:val="63"/>
        <w:numPr>
          <w:ilvl w:val="0"/>
          <w:numId w:val="10"/>
        </w:numPr>
        <w:spacing w:before="120" w:beforeLines="0" w:after="120" w:afterLines="0" w:line="240" w:lineRule="auto"/>
        <w:jc w:val="both"/>
        <w:rPr>
          <w:lang w:val="en-US" w:eastAsia="zh-CN"/>
        </w:rPr>
      </w:pPr>
      <w:r>
        <w:rPr>
          <w:rFonts w:hint="eastAsia"/>
          <w:lang w:val="en-US" w:eastAsia="zh-CN"/>
        </w:rPr>
        <w:t>The synchronization of R2D and D2R should be further studied for Device 2b/C.</w:t>
      </w:r>
    </w:p>
    <w:p>
      <w:pPr>
        <w:pStyle w:val="63"/>
        <w:numPr>
          <w:ilvl w:val="0"/>
          <w:numId w:val="10"/>
        </w:numPr>
        <w:spacing w:before="120" w:beforeLines="0" w:after="120" w:afterLines="0" w:line="240" w:lineRule="auto"/>
        <w:jc w:val="both"/>
        <w:rPr>
          <w:lang w:val="en-US" w:eastAsia="zh-CN"/>
        </w:rPr>
      </w:pPr>
      <w:r>
        <w:rPr>
          <w:rFonts w:hint="eastAsia"/>
          <w:lang w:val="en-US" w:eastAsia="zh-CN"/>
        </w:rPr>
        <w:t>Techniques to improve coverage should be considered in Rel-20 A-IoT.</w:t>
      </w:r>
    </w:p>
    <w:p>
      <w:pPr>
        <w:pStyle w:val="63"/>
        <w:numPr>
          <w:ilvl w:val="0"/>
          <w:numId w:val="10"/>
        </w:numPr>
        <w:spacing w:beforeLines="0" w:after="120" w:afterLines="0" w:line="240" w:lineRule="auto"/>
        <w:rPr>
          <w:lang w:val="en-US" w:eastAsia="zh-CN"/>
        </w:rPr>
      </w:pPr>
      <w:r>
        <w:rPr>
          <w:rFonts w:hint="eastAsia"/>
          <w:lang w:val="en-US" w:eastAsia="zh-CN"/>
        </w:rPr>
        <w:t>D4T1 for device 2b/C outdoors can be considered for Rel-20 A-IoT.</w:t>
      </w:r>
    </w:p>
    <w:p>
      <w:pPr>
        <w:pStyle w:val="63"/>
        <w:numPr>
          <w:ilvl w:val="0"/>
          <w:numId w:val="10"/>
        </w:numPr>
        <w:spacing w:beforeLines="0" w:after="120" w:afterLines="0" w:line="240" w:lineRule="auto"/>
        <w:jc w:val="left"/>
        <w:rPr>
          <w:rFonts w:hint="eastAsia"/>
          <w:sz w:val="20"/>
          <w:lang w:val="en-US" w:eastAsia="zh-CN"/>
        </w:rPr>
      </w:pPr>
      <w:r>
        <w:rPr>
          <w:rFonts w:hint="eastAsia" w:eastAsiaTheme="minorEastAsia"/>
          <w:sz w:val="20"/>
          <w:lang w:val="en-US" w:eastAsia="zh-CN"/>
        </w:rPr>
        <w:t xml:space="preserve"> D2T2-A2 topology is recommended for Device 1</w:t>
      </w:r>
      <w:r>
        <w:rPr>
          <w:rFonts w:hint="eastAsia"/>
          <w:lang w:val="en-US" w:eastAsia="zh-CN"/>
        </w:rPr>
        <w:t>.</w:t>
      </w:r>
    </w:p>
    <w:p>
      <w:pPr>
        <w:pStyle w:val="63"/>
        <w:numPr>
          <w:ilvl w:val="0"/>
          <w:numId w:val="10"/>
        </w:numPr>
        <w:spacing w:before="120" w:beforeLines="0" w:after="120" w:afterLines="0" w:line="240" w:lineRule="auto"/>
        <w:jc w:val="both"/>
        <w:rPr>
          <w:lang w:val="en-US" w:eastAsia="zh-CN"/>
        </w:rPr>
      </w:pPr>
      <w:r>
        <w:rPr>
          <w:rFonts w:hint="eastAsia"/>
          <w:lang w:val="en-US" w:eastAsia="zh-CN"/>
        </w:rPr>
        <w:t xml:space="preserve">For TP#2, </w:t>
      </w:r>
      <w:r>
        <w:t xml:space="preserve">specify </w:t>
      </w:r>
      <w:r>
        <w:rPr>
          <w:rFonts w:hint="eastAsia" w:eastAsia="宋体"/>
          <w:color w:val="000000"/>
          <w:lang w:val="en-US" w:eastAsia="zh-CN"/>
        </w:rPr>
        <w:t>RRC signaling to provision radio resources at the UE reader for A-IoT operation</w:t>
      </w:r>
      <w:r>
        <w:rPr>
          <w:rFonts w:hint="eastAsia"/>
          <w:lang w:val="en-US" w:eastAsia="zh-CN"/>
        </w:rPr>
        <w:t>.</w:t>
      </w:r>
    </w:p>
    <w:p>
      <w:pPr>
        <w:pStyle w:val="21"/>
        <w:numPr>
          <w:ilvl w:val="0"/>
          <w:numId w:val="9"/>
        </w:numPr>
        <w:spacing w:beforeLines="0" w:beforeAutospacing="0" w:after="120" w:afterLines="0" w:afterAutospacing="0" w:line="240" w:lineRule="auto"/>
        <w:jc w:val="both"/>
        <w:rPr>
          <w:b/>
          <w:bCs/>
          <w:i/>
          <w:iCs/>
          <w:color w:val="000000"/>
          <w:sz w:val="20"/>
        </w:rPr>
      </w:pPr>
      <w:r>
        <w:rPr>
          <w:rFonts w:hint="eastAsia"/>
          <w:b/>
          <w:bCs/>
          <w:i/>
          <w:iCs/>
          <w:color w:val="000000"/>
          <w:sz w:val="20"/>
        </w:rPr>
        <w:t>Dedicated signaling in RRC_CONNECT</w:t>
      </w:r>
      <w:bookmarkStart w:id="1" w:name="_GoBack"/>
      <w:bookmarkEnd w:id="1"/>
      <w:r>
        <w:rPr>
          <w:rFonts w:hint="eastAsia"/>
          <w:b/>
          <w:bCs/>
          <w:i/>
          <w:iCs/>
          <w:color w:val="000000"/>
          <w:sz w:val="20"/>
        </w:rPr>
        <w:t>ED state for configuring A-IoT radio resources</w:t>
      </w:r>
    </w:p>
    <w:p>
      <w:pPr>
        <w:pStyle w:val="21"/>
        <w:numPr>
          <w:ilvl w:val="0"/>
          <w:numId w:val="9"/>
        </w:numPr>
        <w:spacing w:beforeLines="0" w:beforeAutospacing="0" w:after="120" w:afterLines="0" w:afterAutospacing="0" w:line="240" w:lineRule="auto"/>
        <w:jc w:val="both"/>
        <w:rPr>
          <w:b/>
          <w:bCs/>
          <w:i/>
          <w:iCs/>
          <w:color w:val="000000"/>
          <w:sz w:val="20"/>
        </w:rPr>
      </w:pPr>
      <w:r>
        <w:rPr>
          <w:rFonts w:hint="eastAsia"/>
          <w:b/>
          <w:bCs/>
          <w:i/>
          <w:iCs/>
          <w:color w:val="000000"/>
          <w:sz w:val="20"/>
        </w:rPr>
        <w:t>Procedures to enable the UE to release the A-IoT resources upon cell change or moving to out of coverage</w:t>
      </w:r>
    </w:p>
    <w:p>
      <w:pPr>
        <w:pStyle w:val="21"/>
        <w:numPr>
          <w:ilvl w:val="0"/>
          <w:numId w:val="9"/>
        </w:numPr>
        <w:spacing w:beforeLines="0" w:beforeAutospacing="0" w:after="120" w:afterLines="0" w:afterAutospacing="0" w:line="240" w:lineRule="auto"/>
        <w:jc w:val="both"/>
        <w:rPr>
          <w:b/>
          <w:bCs/>
          <w:i/>
          <w:iCs/>
          <w:color w:val="000000"/>
          <w:sz w:val="20"/>
        </w:rPr>
      </w:pPr>
      <w:r>
        <w:rPr>
          <w:rFonts w:hint="eastAsia"/>
          <w:b/>
          <w:bCs/>
          <w:i/>
          <w:iCs/>
          <w:color w:val="000000"/>
          <w:sz w:val="20"/>
        </w:rPr>
        <w:t>UE assistance information from the reader to gNB for configuration of A-IoT radio resources</w:t>
      </w:r>
    </w:p>
    <w:p>
      <w:pPr>
        <w:pStyle w:val="21"/>
        <w:numPr>
          <w:ilvl w:val="0"/>
          <w:numId w:val="9"/>
        </w:numPr>
        <w:spacing w:before="120" w:beforeAutospacing="0" w:after="120" w:afterAutospacing="0"/>
      </w:pPr>
      <w:r>
        <w:rPr>
          <w:rFonts w:hint="eastAsia"/>
          <w:b/>
          <w:bCs/>
          <w:i/>
          <w:iCs/>
          <w:color w:val="000000"/>
          <w:sz w:val="20"/>
        </w:rPr>
        <w:t>As a second priority, support operation of A-IoT whilst the UE reader is in one of RRC_INACTIVE state or RRC_IDLE state (RAN2 to down select between INACTIVE and IDLE states)</w:t>
      </w:r>
    </w:p>
    <w:p>
      <w:pPr>
        <w:pStyle w:val="63"/>
        <w:numPr>
          <w:ilvl w:val="0"/>
          <w:numId w:val="10"/>
        </w:numPr>
        <w:spacing w:beforeLines="0" w:after="120" w:afterLines="0" w:line="240" w:lineRule="auto"/>
        <w:jc w:val="both"/>
        <w:rPr>
          <w:lang w:val="en-US" w:eastAsia="zh-CN"/>
        </w:rPr>
      </w:pPr>
      <w:r>
        <w:rPr>
          <w:rFonts w:hint="eastAsia"/>
          <w:lang w:val="en-US" w:eastAsia="zh-CN"/>
        </w:rPr>
        <w:t>For indoor deployment of active device, the outdoor design can be reused with appropriate trimming or simplification as needed.</w:t>
      </w:r>
    </w:p>
    <w:p>
      <w:pPr>
        <w:pStyle w:val="63"/>
        <w:numPr>
          <w:ilvl w:val="0"/>
          <w:numId w:val="10"/>
        </w:numPr>
        <w:spacing w:beforeLines="0" w:after="120" w:afterLines="0" w:line="240" w:lineRule="auto"/>
        <w:jc w:val="left"/>
        <w:rPr>
          <w:rFonts w:hint="eastAsia"/>
          <w:lang w:val="en-US" w:eastAsia="zh-CN"/>
        </w:rPr>
      </w:pPr>
      <w:r>
        <w:rPr>
          <w:rFonts w:hint="eastAsia" w:cs="Times New Roman"/>
          <w:kern w:val="2"/>
          <w:sz w:val="20"/>
          <w:lang w:val="en-US" w:eastAsia="zh-CN" w:bidi="ar-SA"/>
        </w:rPr>
        <w:t>Device 2b in topology 2 is de-prioritized due to the spectrum usage issue.</w:t>
      </w:r>
    </w:p>
    <w:p>
      <w:pPr>
        <w:pStyle w:val="63"/>
        <w:numPr>
          <w:ilvl w:val="0"/>
          <w:numId w:val="10"/>
        </w:numPr>
        <w:spacing w:before="120" w:beforeLines="0" w:after="120" w:afterLines="0" w:line="240" w:lineRule="auto"/>
        <w:jc w:val="both"/>
        <w:rPr>
          <w:lang w:val="en-US" w:eastAsia="zh-CN"/>
        </w:rPr>
      </w:pPr>
      <w:r>
        <w:rPr>
          <w:rFonts w:hint="eastAsia"/>
          <w:lang w:val="en-US" w:eastAsia="zh-CN"/>
        </w:rPr>
        <w:t>Solutions to increase network capacity and improve access efficiency should be considered for outdoor scenario, e.g.,</w:t>
      </w:r>
      <w:r>
        <w:rPr>
          <w:rFonts w:hint="eastAsia" w:eastAsia="宋体"/>
          <w:lang w:val="en-US" w:eastAsia="zh-CN"/>
        </w:rPr>
        <w:t xml:space="preserve"> </w:t>
      </w:r>
      <w:r>
        <w:t>deterministic access occasion selection</w:t>
      </w:r>
      <w:r>
        <w:rPr>
          <w:rFonts w:hint="eastAsia"/>
          <w:lang w:val="en-US" w:eastAsia="zh-CN"/>
        </w:rPr>
        <w:t>.</w:t>
      </w:r>
    </w:p>
    <w:p>
      <w:pPr>
        <w:pStyle w:val="63"/>
        <w:numPr>
          <w:ilvl w:val="0"/>
          <w:numId w:val="10"/>
        </w:numPr>
        <w:spacing w:before="120" w:beforeLines="0" w:after="120" w:afterLines="0" w:line="240" w:lineRule="auto"/>
        <w:jc w:val="both"/>
        <w:rPr>
          <w:lang w:val="en-US" w:eastAsia="zh-CN"/>
        </w:rPr>
      </w:pPr>
      <w:r>
        <w:rPr>
          <w:lang w:val="en-US" w:eastAsia="zh-CN"/>
        </w:rPr>
        <w:t>2-step RA procedure should be considered for Rel-20 A-IoT</w:t>
      </w:r>
      <w:r>
        <w:rPr>
          <w:rFonts w:hint="eastAsia"/>
          <w:lang w:val="en-US" w:eastAsia="zh-CN"/>
        </w:rPr>
        <w:t>.</w:t>
      </w:r>
    </w:p>
    <w:p>
      <w:pPr>
        <w:pStyle w:val="63"/>
        <w:numPr>
          <w:ilvl w:val="0"/>
          <w:numId w:val="10"/>
        </w:numPr>
        <w:spacing w:before="120" w:beforeLines="0" w:after="120" w:afterLines="0" w:line="240" w:lineRule="auto"/>
        <w:jc w:val="both"/>
        <w:rPr>
          <w:lang w:val="en-US" w:eastAsia="zh-CN"/>
        </w:rPr>
      </w:pPr>
      <w:r>
        <w:rPr>
          <w:lang w:val="en-US" w:eastAsia="zh-CN"/>
        </w:rPr>
        <w:t>Enhanced mechanisms to enable parallel service request procedures both for single reader and multi-reader scenarios should be specified in</w:t>
      </w:r>
      <w:r>
        <w:rPr>
          <w:rFonts w:hint="eastAsia"/>
          <w:lang w:val="en-US" w:eastAsia="zh-CN"/>
        </w:rPr>
        <w:t xml:space="preserve"> Rel-20.</w:t>
      </w:r>
    </w:p>
    <w:p>
      <w:pPr>
        <w:pStyle w:val="63"/>
        <w:numPr>
          <w:ilvl w:val="0"/>
          <w:numId w:val="10"/>
        </w:numPr>
        <w:spacing w:before="120" w:beforeLines="0" w:after="120" w:afterLines="0" w:line="240" w:lineRule="auto"/>
        <w:jc w:val="both"/>
        <w:rPr>
          <w:lang w:val="en-US" w:eastAsia="zh-CN"/>
        </w:rPr>
      </w:pPr>
      <w:r>
        <w:rPr>
          <w:rFonts w:hint="eastAsia"/>
          <w:lang w:val="en-US" w:eastAsia="zh-CN"/>
        </w:rPr>
        <w:t>Device (un)availability can be further studied for device 2b/C in Rel-20.</w:t>
      </w:r>
    </w:p>
    <w:p>
      <w:pPr>
        <w:pStyle w:val="63"/>
        <w:numPr>
          <w:ilvl w:val="0"/>
          <w:numId w:val="10"/>
        </w:numPr>
        <w:spacing w:before="120" w:beforeLines="0" w:after="120" w:afterLines="0" w:line="240" w:lineRule="auto"/>
        <w:jc w:val="both"/>
        <w:rPr>
          <w:color w:val="000000"/>
        </w:rPr>
      </w:pPr>
      <w:r>
        <w:rPr>
          <w:rFonts w:hint="eastAsia"/>
          <w:color w:val="000000"/>
          <w:lang w:val="en-US" w:eastAsia="zh-CN"/>
        </w:rPr>
        <w:t>Consider the following scope for each WG in Rel-20.</w:t>
      </w:r>
    </w:p>
    <w:p>
      <w:pPr>
        <w:pStyle w:val="21"/>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Outdoor scenario(SI+WI): led by RAN1</w:t>
      </w:r>
    </w:p>
    <w:p>
      <w:pPr>
        <w:pStyle w:val="21"/>
        <w:numPr>
          <w:ilvl w:val="8"/>
          <w:numId w:val="0"/>
        </w:numPr>
        <w:spacing w:before="120" w:beforeAutospacing="0" w:after="120" w:afterAutospacing="0"/>
        <w:ind w:left="210" w:leftChars="100"/>
        <w:rPr>
          <w:b/>
          <w:bCs/>
          <w:i/>
          <w:iCs/>
          <w:color w:val="000000"/>
          <w:sz w:val="20"/>
          <w:u w:val="single"/>
        </w:rPr>
      </w:pPr>
      <w:r>
        <w:rPr>
          <w:rFonts w:hint="eastAsia"/>
          <w:b/>
          <w:bCs/>
          <w:i/>
          <w:iCs/>
          <w:color w:val="000000"/>
          <w:sz w:val="20"/>
          <w:u w:val="single"/>
        </w:rPr>
        <w:t>RAN1</w:t>
      </w:r>
    </w:p>
    <w:p>
      <w:pPr>
        <w:pStyle w:val="21"/>
        <w:numPr>
          <w:ilvl w:val="0"/>
          <w:numId w:val="12"/>
        </w:numPr>
        <w:spacing w:before="120" w:beforeAutospacing="0" w:after="120" w:afterAutospacing="0"/>
        <w:ind w:left="210" w:leftChars="100"/>
        <w:rPr>
          <w:b/>
          <w:bCs/>
          <w:i/>
          <w:iCs/>
          <w:color w:val="000000"/>
          <w:sz w:val="20"/>
        </w:rPr>
      </w:pPr>
      <w:r>
        <w:rPr>
          <w:rFonts w:hint="eastAsia"/>
          <w:b/>
          <w:bCs/>
          <w:i/>
          <w:iCs/>
          <w:color w:val="000000"/>
          <w:sz w:val="20"/>
        </w:rPr>
        <w:t xml:space="preserve">Study and specify device 2b/C </w:t>
      </w:r>
      <w:r>
        <w:rPr>
          <w:rFonts w:hint="eastAsia"/>
          <w:b/>
          <w:bCs/>
          <w:i/>
          <w:iCs/>
          <w:color w:val="000000"/>
          <w:sz w:val="20"/>
          <w:lang w:val="en-US" w:eastAsia="zh-CN"/>
        </w:rPr>
        <w:t xml:space="preserve">in Topology 1 </w:t>
      </w:r>
      <w:r>
        <w:rPr>
          <w:rFonts w:hint="eastAsia"/>
          <w:b/>
          <w:bCs/>
          <w:i/>
          <w:iCs/>
          <w:color w:val="000000"/>
          <w:sz w:val="20"/>
        </w:rPr>
        <w:t>for outdoor inventory/command/sensor, including the evaluation of coverage, synchronization</w:t>
      </w:r>
      <w:r>
        <w:rPr>
          <w:rFonts w:hint="eastAsia"/>
          <w:b/>
          <w:bCs/>
          <w:i/>
          <w:iCs/>
          <w:color w:val="000000"/>
          <w:sz w:val="20"/>
          <w:lang w:val="en-US" w:eastAsia="zh-CN"/>
        </w:rPr>
        <w:t xml:space="preserve">, </w:t>
      </w:r>
      <w:r>
        <w:rPr>
          <w:rFonts w:hint="eastAsia"/>
          <w:b/>
          <w:bCs/>
          <w:i/>
          <w:iCs/>
          <w:color w:val="000000"/>
          <w:sz w:val="20"/>
        </w:rPr>
        <w:t>device (un)availability and necessary enhancements</w:t>
      </w:r>
    </w:p>
    <w:p>
      <w:pPr>
        <w:pStyle w:val="21"/>
        <w:numPr>
          <w:ilvl w:val="8"/>
          <w:numId w:val="0"/>
        </w:numPr>
        <w:spacing w:before="120" w:beforeAutospacing="0" w:after="120" w:afterAutospacing="0"/>
        <w:ind w:left="210" w:leftChars="100"/>
        <w:rPr>
          <w:b/>
          <w:bCs/>
          <w:i/>
          <w:iCs/>
          <w:color w:val="000000"/>
          <w:sz w:val="20"/>
          <w:u w:val="single"/>
        </w:rPr>
      </w:pPr>
      <w:r>
        <w:rPr>
          <w:rFonts w:hint="eastAsia"/>
          <w:b/>
          <w:bCs/>
          <w:i/>
          <w:iCs/>
          <w:color w:val="000000"/>
          <w:sz w:val="20"/>
          <w:u w:val="single"/>
        </w:rPr>
        <w:t>RAN2/3</w:t>
      </w:r>
    </w:p>
    <w:p>
      <w:pPr>
        <w:pStyle w:val="21"/>
        <w:numPr>
          <w:ilvl w:val="0"/>
          <w:numId w:val="12"/>
        </w:numPr>
        <w:spacing w:before="120" w:beforeAutospacing="0" w:after="120" w:afterAutospacing="0"/>
        <w:ind w:left="210" w:leftChars="100"/>
        <w:rPr>
          <w:b/>
          <w:bCs/>
          <w:i/>
          <w:iCs/>
          <w:color w:val="000000"/>
          <w:sz w:val="20"/>
        </w:rPr>
      </w:pPr>
      <w:r>
        <w:rPr>
          <w:rFonts w:hint="eastAsia"/>
          <w:b/>
          <w:bCs/>
          <w:i/>
          <w:iCs/>
          <w:color w:val="000000"/>
          <w:sz w:val="20"/>
        </w:rPr>
        <w:t xml:space="preserve">Study and specify procedures </w:t>
      </w:r>
      <w:r>
        <w:rPr>
          <w:rFonts w:hint="eastAsia"/>
          <w:b/>
          <w:bCs/>
          <w:i/>
          <w:iCs/>
          <w:color w:val="000000"/>
          <w:sz w:val="20"/>
          <w:lang w:val="en-US" w:eastAsia="zh-CN"/>
        </w:rPr>
        <w:t xml:space="preserve">of </w:t>
      </w:r>
      <w:r>
        <w:rPr>
          <w:rFonts w:hint="eastAsia"/>
          <w:b/>
          <w:bCs/>
          <w:i/>
          <w:iCs/>
          <w:color w:val="000000"/>
          <w:sz w:val="20"/>
        </w:rPr>
        <w:t xml:space="preserve">device 2b/C </w:t>
      </w:r>
      <w:r>
        <w:rPr>
          <w:rFonts w:hint="eastAsia"/>
          <w:b/>
          <w:bCs/>
          <w:i/>
          <w:iCs/>
          <w:color w:val="000000"/>
          <w:sz w:val="20"/>
          <w:lang w:val="en-US" w:eastAsia="zh-CN"/>
        </w:rPr>
        <w:t xml:space="preserve">in Topology 1 </w:t>
      </w:r>
      <w:r>
        <w:rPr>
          <w:rFonts w:hint="eastAsia"/>
          <w:b/>
          <w:bCs/>
          <w:i/>
          <w:iCs/>
          <w:color w:val="000000"/>
          <w:sz w:val="20"/>
        </w:rPr>
        <w:t>to support outdoor inventory/command/sensor, including enhancements to support DO-A traffic</w:t>
      </w:r>
    </w:p>
    <w:p>
      <w:pPr>
        <w:pStyle w:val="21"/>
        <w:numPr>
          <w:ilvl w:val="8"/>
          <w:numId w:val="0"/>
        </w:numPr>
        <w:spacing w:before="120" w:beforeAutospacing="0" w:after="120" w:afterAutospacing="0"/>
        <w:ind w:left="210" w:leftChars="100"/>
        <w:rPr>
          <w:b/>
          <w:bCs/>
          <w:i/>
          <w:iCs/>
          <w:color w:val="000000"/>
          <w:sz w:val="20"/>
          <w:u w:val="single"/>
        </w:rPr>
      </w:pPr>
      <w:r>
        <w:rPr>
          <w:rFonts w:hint="eastAsia"/>
          <w:b/>
          <w:bCs/>
          <w:i/>
          <w:iCs/>
          <w:color w:val="000000"/>
          <w:sz w:val="20"/>
          <w:u w:val="single"/>
        </w:rPr>
        <w:t>RAN4</w:t>
      </w:r>
    </w:p>
    <w:p>
      <w:pPr>
        <w:pStyle w:val="21"/>
        <w:numPr>
          <w:ilvl w:val="0"/>
          <w:numId w:val="12"/>
        </w:numPr>
        <w:spacing w:before="120" w:beforeAutospacing="0" w:after="120" w:afterAutospacing="0"/>
        <w:ind w:left="210" w:leftChars="100"/>
        <w:rPr>
          <w:b/>
          <w:bCs/>
          <w:i/>
          <w:iCs/>
          <w:color w:val="000000"/>
          <w:sz w:val="20"/>
          <w:u w:val="single"/>
        </w:rPr>
      </w:pPr>
      <w:r>
        <w:rPr>
          <w:rFonts w:hint="eastAsia"/>
          <w:b/>
          <w:bCs/>
          <w:i/>
          <w:iCs/>
          <w:color w:val="000000"/>
          <w:sz w:val="20"/>
        </w:rPr>
        <w:t xml:space="preserve">Study and specify requirements </w:t>
      </w:r>
      <w:r>
        <w:rPr>
          <w:rFonts w:hint="eastAsia"/>
          <w:b/>
          <w:bCs/>
          <w:i/>
          <w:iCs/>
          <w:color w:val="000000"/>
          <w:sz w:val="20"/>
          <w:lang w:val="en-US" w:eastAsia="zh-CN"/>
        </w:rPr>
        <w:t xml:space="preserve">of </w:t>
      </w:r>
      <w:r>
        <w:rPr>
          <w:rFonts w:hint="eastAsia"/>
          <w:b/>
          <w:bCs/>
          <w:i/>
          <w:iCs/>
          <w:color w:val="000000"/>
          <w:sz w:val="20"/>
        </w:rPr>
        <w:t xml:space="preserve">device 2b/C </w:t>
      </w:r>
      <w:r>
        <w:rPr>
          <w:rFonts w:hint="eastAsia"/>
          <w:b/>
          <w:bCs/>
          <w:i/>
          <w:iCs/>
          <w:color w:val="000000"/>
          <w:sz w:val="20"/>
          <w:lang w:val="en-US" w:eastAsia="zh-CN"/>
        </w:rPr>
        <w:t xml:space="preserve">and applicable BS in Topology 1 </w:t>
      </w:r>
      <w:r>
        <w:rPr>
          <w:rFonts w:hint="eastAsia"/>
          <w:b/>
          <w:bCs/>
          <w:i/>
          <w:iCs/>
          <w:color w:val="000000"/>
          <w:sz w:val="20"/>
        </w:rPr>
        <w:t>for outdoor scenario, including the evaluation of co-existence with NR</w:t>
      </w:r>
    </w:p>
    <w:p>
      <w:pPr>
        <w:pStyle w:val="21"/>
        <w:spacing w:before="120" w:beforeAutospacing="0" w:after="120" w:afterAutospacing="0"/>
        <w:ind w:left="210" w:leftChars="100"/>
        <w:rPr>
          <w:b/>
          <w:bCs/>
          <w:i/>
          <w:iCs/>
          <w:color w:val="000000"/>
          <w:sz w:val="20"/>
          <w:u w:val="single"/>
        </w:rPr>
      </w:pPr>
    </w:p>
    <w:p>
      <w:pPr>
        <w:pStyle w:val="21"/>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Topology 2(WI): led by RAN2</w:t>
      </w:r>
    </w:p>
    <w:p>
      <w:pPr>
        <w:pStyle w:val="21"/>
        <w:numPr>
          <w:ilvl w:val="8"/>
          <w:numId w:val="0"/>
        </w:numPr>
        <w:spacing w:before="120" w:beforeAutospacing="0" w:after="120" w:afterAutospacing="0"/>
        <w:ind w:left="210" w:leftChars="100"/>
        <w:rPr>
          <w:b/>
          <w:bCs/>
          <w:i/>
          <w:iCs/>
          <w:color w:val="000000"/>
          <w:sz w:val="20"/>
          <w:u w:val="single"/>
        </w:rPr>
      </w:pPr>
      <w:r>
        <w:rPr>
          <w:rFonts w:hint="eastAsia"/>
          <w:b/>
          <w:bCs/>
          <w:i/>
          <w:iCs/>
          <w:color w:val="000000"/>
          <w:sz w:val="20"/>
          <w:u w:val="single"/>
        </w:rPr>
        <w:t>RAN2</w:t>
      </w:r>
    </w:p>
    <w:p>
      <w:pPr>
        <w:pStyle w:val="21"/>
        <w:numPr>
          <w:ilvl w:val="0"/>
          <w:numId w:val="12"/>
        </w:numPr>
        <w:spacing w:before="120" w:beforeAutospacing="0" w:after="120" w:afterAutospacing="0"/>
        <w:ind w:left="210" w:leftChars="100"/>
        <w:rPr>
          <w:b/>
          <w:bCs/>
          <w:i/>
          <w:iCs/>
          <w:color w:val="000000"/>
          <w:sz w:val="20"/>
        </w:rPr>
      </w:pPr>
      <w:r>
        <w:rPr>
          <w:b/>
          <w:bCs/>
          <w:i/>
          <w:iCs/>
          <w:sz w:val="20"/>
        </w:rPr>
        <w:t>Protocol enhancements to support</w:t>
      </w:r>
      <w:r>
        <w:rPr>
          <w:rFonts w:hint="eastAsia"/>
          <w:b/>
          <w:bCs/>
          <w:i/>
          <w:iCs/>
          <w:sz w:val="20"/>
        </w:rPr>
        <w:t xml:space="preserve"> </w:t>
      </w:r>
      <w:r>
        <w:rPr>
          <w:rFonts w:hint="eastAsia"/>
          <w:b/>
          <w:bCs/>
          <w:i/>
          <w:iCs/>
          <w:color w:val="000000"/>
          <w:sz w:val="20"/>
        </w:rPr>
        <w:t>Topology 2</w:t>
      </w:r>
    </w:p>
    <w:p>
      <w:pPr>
        <w:pStyle w:val="21"/>
        <w:numPr>
          <w:ilvl w:val="0"/>
          <w:numId w:val="12"/>
        </w:numPr>
        <w:spacing w:before="120" w:beforeAutospacing="0" w:after="120" w:afterAutospacing="0"/>
        <w:ind w:left="210" w:leftChars="100"/>
        <w:rPr>
          <w:b/>
          <w:bCs/>
          <w:i/>
          <w:iCs/>
          <w:strike w:val="0"/>
          <w:color w:val="000000"/>
          <w:sz w:val="20"/>
        </w:rPr>
      </w:pPr>
      <w:r>
        <w:rPr>
          <w:rFonts w:hint="eastAsia"/>
          <w:b/>
          <w:bCs/>
          <w:i/>
          <w:iCs/>
          <w:color w:val="000000"/>
          <w:sz w:val="20"/>
        </w:rPr>
        <w:t>Enhanc</w:t>
      </w:r>
      <w:r>
        <w:rPr>
          <w:rFonts w:hint="eastAsia"/>
          <w:b/>
          <w:bCs/>
          <w:i/>
          <w:iCs/>
          <w:strike w:val="0"/>
          <w:color w:val="000000"/>
          <w:sz w:val="20"/>
        </w:rPr>
        <w:t>ements to the random access procedure</w:t>
      </w:r>
      <w:r>
        <w:rPr>
          <w:b/>
          <w:bCs/>
          <w:i/>
          <w:iCs/>
          <w:strike w:val="0"/>
          <w:color w:val="000000"/>
          <w:sz w:val="20"/>
        </w:rPr>
        <w:t xml:space="preserve"> including support of 2-step RACH</w:t>
      </w:r>
    </w:p>
    <w:p>
      <w:pPr>
        <w:pStyle w:val="21"/>
        <w:numPr>
          <w:ilvl w:val="0"/>
          <w:numId w:val="12"/>
        </w:numPr>
        <w:spacing w:before="120" w:beforeAutospacing="0" w:after="120" w:afterAutospacing="0"/>
        <w:ind w:left="210" w:leftChars="100"/>
        <w:rPr>
          <w:b/>
          <w:bCs/>
          <w:i/>
          <w:iCs/>
          <w:strike w:val="0"/>
          <w:color w:val="000000"/>
          <w:sz w:val="20"/>
        </w:rPr>
      </w:pPr>
      <w:r>
        <w:rPr>
          <w:b/>
          <w:bCs/>
          <w:i/>
          <w:iCs/>
          <w:strike w:val="0"/>
          <w:color w:val="000000"/>
          <w:sz w:val="20"/>
        </w:rPr>
        <w:t>Enhancements to avoid duplicate responses to the same service request</w:t>
      </w:r>
    </w:p>
    <w:p>
      <w:pPr>
        <w:pStyle w:val="21"/>
        <w:numPr>
          <w:ilvl w:val="8"/>
          <w:numId w:val="0"/>
        </w:numPr>
        <w:spacing w:before="120" w:beforeAutospacing="0" w:after="120" w:afterAutospacing="0"/>
        <w:ind w:left="210" w:leftChars="100"/>
        <w:rPr>
          <w:b/>
          <w:bCs/>
          <w:i/>
          <w:iCs/>
          <w:strike w:val="0"/>
          <w:color w:val="000000"/>
          <w:sz w:val="20"/>
          <w:u w:val="single"/>
        </w:rPr>
      </w:pPr>
      <w:r>
        <w:rPr>
          <w:rFonts w:hint="eastAsia"/>
          <w:b/>
          <w:bCs/>
          <w:i/>
          <w:iCs/>
          <w:strike w:val="0"/>
          <w:color w:val="000000"/>
          <w:sz w:val="20"/>
          <w:u w:val="single"/>
        </w:rPr>
        <w:t>RAN3</w:t>
      </w:r>
    </w:p>
    <w:p>
      <w:pPr>
        <w:pStyle w:val="21"/>
        <w:numPr>
          <w:ilvl w:val="0"/>
          <w:numId w:val="12"/>
        </w:numPr>
        <w:spacing w:before="120" w:beforeAutospacing="0" w:after="120" w:afterAutospacing="0"/>
        <w:ind w:left="210" w:leftChars="100"/>
        <w:rPr>
          <w:b/>
          <w:bCs/>
          <w:i/>
          <w:iCs/>
          <w:strike w:val="0"/>
          <w:color w:val="000000"/>
          <w:sz w:val="20"/>
        </w:rPr>
      </w:pPr>
      <w:r>
        <w:rPr>
          <w:rFonts w:hint="eastAsia"/>
          <w:b/>
          <w:bCs/>
          <w:i/>
          <w:iCs/>
          <w:strike w:val="0"/>
          <w:color w:val="000000"/>
          <w:sz w:val="20"/>
        </w:rPr>
        <w:t>Protocol stack and signalling support for Topology 2</w:t>
      </w:r>
    </w:p>
    <w:p>
      <w:pPr>
        <w:pStyle w:val="21"/>
        <w:numPr>
          <w:ilvl w:val="8"/>
          <w:numId w:val="0"/>
        </w:numPr>
        <w:spacing w:before="120" w:beforeAutospacing="0" w:after="120" w:afterAutospacing="0"/>
        <w:ind w:left="210" w:leftChars="100"/>
        <w:rPr>
          <w:b/>
          <w:bCs/>
          <w:i/>
          <w:iCs/>
          <w:strike w:val="0"/>
          <w:color w:val="000000"/>
          <w:sz w:val="20"/>
          <w:u w:val="single"/>
        </w:rPr>
      </w:pPr>
      <w:r>
        <w:rPr>
          <w:rFonts w:hint="eastAsia"/>
          <w:b/>
          <w:bCs/>
          <w:i/>
          <w:iCs/>
          <w:strike w:val="0"/>
          <w:color w:val="000000"/>
          <w:sz w:val="20"/>
          <w:u w:val="single"/>
        </w:rPr>
        <w:t>RAN4</w:t>
      </w:r>
    </w:p>
    <w:p>
      <w:pPr>
        <w:pStyle w:val="21"/>
        <w:numPr>
          <w:ilvl w:val="0"/>
          <w:numId w:val="12"/>
        </w:numPr>
        <w:spacing w:before="120" w:beforeAutospacing="0" w:after="120" w:afterAutospacing="0"/>
        <w:ind w:left="210" w:leftChars="100"/>
        <w:rPr>
          <w:strike w:val="0"/>
          <w:sz w:val="20"/>
        </w:rPr>
      </w:pPr>
      <w:r>
        <w:rPr>
          <w:rFonts w:hint="eastAsia"/>
          <w:b/>
          <w:bCs/>
          <w:i/>
          <w:iCs/>
          <w:strike w:val="0"/>
          <w:color w:val="000000"/>
          <w:sz w:val="20"/>
        </w:rPr>
        <w:t>RF/RRM/de-modulation requirements of UE readers</w:t>
      </w:r>
    </w:p>
    <w:p>
      <w:pPr>
        <w:spacing w:before="120" w:after="120"/>
        <w:rPr>
          <w:sz w:val="20"/>
        </w:rPr>
      </w:pPr>
    </w:p>
    <w:p>
      <w:pPr>
        <w:pStyle w:val="2"/>
        <w:spacing w:before="120" w:after="120"/>
        <w:ind w:left="0"/>
        <w:rPr>
          <w:rFonts w:eastAsia="宋体"/>
        </w:rPr>
      </w:pPr>
      <w:r>
        <w:rPr>
          <w:rFonts w:hint="eastAsia" w:eastAsia="宋体"/>
        </w:rPr>
        <w:t>Reference</w:t>
      </w:r>
      <w:r>
        <w:rPr>
          <w:rFonts w:eastAsia="宋体"/>
        </w:rPr>
        <w:t>s</w:t>
      </w:r>
    </w:p>
    <w:p>
      <w:pPr>
        <w:numPr>
          <w:ilvl w:val="0"/>
          <w:numId w:val="15"/>
        </w:numPr>
        <w:adjustRightInd w:val="0"/>
        <w:snapToGrid w:val="0"/>
        <w:spacing w:beforeLines="0" w:after="120" w:afterLines="0" w:line="240" w:lineRule="auto"/>
        <w:rPr>
          <w:sz w:val="20"/>
        </w:rPr>
      </w:pPr>
      <w:r>
        <w:rPr>
          <w:rFonts w:hint="eastAsia"/>
          <w:sz w:val="20"/>
        </w:rPr>
        <w:t>RP-243280. Way forward for Ambient IoT for REL-19 and REL-20, Huawei, RAN#106</w:t>
      </w:r>
    </w:p>
    <w:p>
      <w:pPr>
        <w:numPr>
          <w:ilvl w:val="0"/>
          <w:numId w:val="15"/>
        </w:numPr>
        <w:adjustRightInd w:val="0"/>
        <w:snapToGrid w:val="0"/>
        <w:spacing w:beforeLines="0" w:after="120" w:afterLines="0" w:line="240" w:lineRule="auto"/>
        <w:rPr>
          <w:sz w:val="20"/>
        </w:rPr>
      </w:pPr>
      <w:r>
        <w:rPr>
          <w:rFonts w:hint="eastAsia"/>
          <w:sz w:val="20"/>
        </w:rPr>
        <w:t>RP-250802. Moderator's summary for RAN1 led REL-20 topics, RAN1 Chair (Samsung), RAN#107</w:t>
      </w:r>
    </w:p>
    <w:p>
      <w:pPr>
        <w:spacing w:before="120" w:after="120"/>
        <w:rPr>
          <w:rFonts w:ascii="Arial" w:hAnsi="Arial" w:cs="Arial"/>
          <w:sz w:val="20"/>
        </w:rPr>
      </w:pPr>
    </w:p>
    <w:p>
      <w:pPr>
        <w:spacing w:before="120" w:after="120"/>
        <w:rPr>
          <w:rFonts w:ascii="Arial" w:hAnsi="Arial" w:cs="Arial"/>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7"/>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9A75F"/>
    <w:multiLevelType w:val="singleLevel"/>
    <w:tmpl w:val="9D69A75F"/>
    <w:lvl w:ilvl="0" w:tentative="0">
      <w:start w:val="1"/>
      <w:numFmt w:val="bullet"/>
      <w:lvlText w:val="−"/>
      <w:lvlJc w:val="left"/>
      <w:pPr>
        <w:tabs>
          <w:tab w:val="left" w:pos="840"/>
        </w:tabs>
        <w:ind w:left="1260" w:hanging="420"/>
      </w:pPr>
      <w:rPr>
        <w:rFonts w:hint="default" w:ascii="Arial" w:hAnsi="Arial" w:cs="Arial"/>
      </w:rPr>
    </w:lvl>
  </w:abstractNum>
  <w:abstractNum w:abstractNumId="1">
    <w:nsid w:val="AB34B193"/>
    <w:multiLevelType w:val="multi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9DB2EAD"/>
    <w:multiLevelType w:val="multilevel"/>
    <w:tmpl w:val="B9DB2EAD"/>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ED074233"/>
    <w:multiLevelType w:val="multilevel"/>
    <w:tmpl w:val="ED074233"/>
    <w:lvl w:ilvl="0" w:tentative="0">
      <w:start w:val="1"/>
      <w:numFmt w:val="bullet"/>
      <w:lvlText w:val="•"/>
      <w:lvlJc w:val="left"/>
      <w:pPr>
        <w:tabs>
          <w:tab w:val="left" w:pos="420"/>
        </w:tabs>
        <w:ind w:left="840" w:hanging="420"/>
      </w:pPr>
      <w:rPr>
        <w:rFonts w:hint="default" w:ascii="Arial" w:hAnsi="Arial" w:cs="Symbo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22D21819"/>
    <w:multiLevelType w:val="multilevel"/>
    <w:tmpl w:val="22D21819"/>
    <w:lvl w:ilvl="0" w:tentative="0">
      <w:start w:val="1"/>
      <w:numFmt w:val="bullet"/>
      <w:pStyle w:val="86"/>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869448D"/>
    <w:multiLevelType w:val="multilevel"/>
    <w:tmpl w:val="686944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77"/>
      <w:lvlText w:val=""/>
      <w:lvlJc w:val="left"/>
      <w:pPr>
        <w:tabs>
          <w:tab w:val="left" w:pos="2363"/>
        </w:tabs>
        <w:ind w:left="2363" w:hanging="360"/>
      </w:pPr>
      <w:rPr>
        <w:rFonts w:hint="default" w:ascii="Symbol" w:hAnsi="Symbol"/>
        <w:b/>
        <w:i w:val="0"/>
        <w:color w:val="auto"/>
        <w:sz w:val="22"/>
      </w:rPr>
    </w:lvl>
    <w:lvl w:ilvl="1" w:tentative="0">
      <w:start w:val="1"/>
      <w:numFmt w:val="bullet"/>
      <w:lvlText w:val="o"/>
      <w:lvlJc w:val="left"/>
      <w:pPr>
        <w:tabs>
          <w:tab w:val="left" w:pos="183"/>
        </w:tabs>
        <w:ind w:left="183" w:hanging="360"/>
      </w:pPr>
      <w:rPr>
        <w:rFonts w:hint="default" w:ascii="Courier New" w:hAnsi="Courier New" w:cs="Courier New"/>
      </w:rPr>
    </w:lvl>
    <w:lvl w:ilvl="2" w:tentative="0">
      <w:start w:val="1"/>
      <w:numFmt w:val="bullet"/>
      <w:lvlText w:val=""/>
      <w:lvlJc w:val="left"/>
      <w:pPr>
        <w:tabs>
          <w:tab w:val="left" w:pos="903"/>
        </w:tabs>
        <w:ind w:left="903" w:hanging="360"/>
      </w:pPr>
      <w:rPr>
        <w:rFonts w:hint="default" w:ascii="Wingdings" w:hAnsi="Wingdings"/>
      </w:rPr>
    </w:lvl>
    <w:lvl w:ilvl="3" w:tentative="0">
      <w:start w:val="1"/>
      <w:numFmt w:val="bullet"/>
      <w:lvlText w:val=""/>
      <w:lvlJc w:val="left"/>
      <w:pPr>
        <w:tabs>
          <w:tab w:val="left" w:pos="1623"/>
        </w:tabs>
        <w:ind w:left="1623" w:hanging="360"/>
      </w:pPr>
      <w:rPr>
        <w:rFonts w:hint="default" w:ascii="Symbol" w:hAnsi="Symbol"/>
      </w:rPr>
    </w:lvl>
    <w:lvl w:ilvl="4" w:tentative="0">
      <w:start w:val="1"/>
      <w:numFmt w:val="bullet"/>
      <w:lvlText w:val="o"/>
      <w:lvlJc w:val="left"/>
      <w:pPr>
        <w:tabs>
          <w:tab w:val="left" w:pos="2343"/>
        </w:tabs>
        <w:ind w:left="2343" w:hanging="360"/>
      </w:pPr>
      <w:rPr>
        <w:rFonts w:hint="default" w:ascii="Courier New" w:hAnsi="Courier New" w:cs="Courier New"/>
      </w:rPr>
    </w:lvl>
    <w:lvl w:ilvl="5" w:tentative="0">
      <w:start w:val="1"/>
      <w:numFmt w:val="bullet"/>
      <w:lvlText w:val=""/>
      <w:lvlJc w:val="left"/>
      <w:pPr>
        <w:tabs>
          <w:tab w:val="left" w:pos="3063"/>
        </w:tabs>
        <w:ind w:left="3063" w:hanging="360"/>
      </w:pPr>
      <w:rPr>
        <w:rFonts w:hint="default" w:ascii="Wingdings" w:hAnsi="Wingdings"/>
      </w:rPr>
    </w:lvl>
    <w:lvl w:ilvl="6" w:tentative="0">
      <w:start w:val="1"/>
      <w:numFmt w:val="bullet"/>
      <w:lvlText w:val=""/>
      <w:lvlJc w:val="left"/>
      <w:pPr>
        <w:tabs>
          <w:tab w:val="left" w:pos="3783"/>
        </w:tabs>
        <w:ind w:left="3783" w:hanging="360"/>
      </w:pPr>
      <w:rPr>
        <w:rFonts w:hint="default" w:ascii="Symbol" w:hAnsi="Symbol"/>
      </w:rPr>
    </w:lvl>
    <w:lvl w:ilvl="7" w:tentative="0">
      <w:start w:val="1"/>
      <w:numFmt w:val="bullet"/>
      <w:lvlText w:val="o"/>
      <w:lvlJc w:val="left"/>
      <w:pPr>
        <w:tabs>
          <w:tab w:val="left" w:pos="4503"/>
        </w:tabs>
        <w:ind w:left="4503" w:hanging="360"/>
      </w:pPr>
      <w:rPr>
        <w:rFonts w:hint="default" w:ascii="Courier New" w:hAnsi="Courier New" w:cs="Courier New"/>
      </w:rPr>
    </w:lvl>
    <w:lvl w:ilvl="8" w:tentative="0">
      <w:start w:val="1"/>
      <w:numFmt w:val="bullet"/>
      <w:lvlText w:val=""/>
      <w:lvlJc w:val="left"/>
      <w:pPr>
        <w:tabs>
          <w:tab w:val="left" w:pos="5223"/>
        </w:tabs>
        <w:ind w:left="5223" w:hanging="360"/>
      </w:pPr>
      <w:rPr>
        <w:rFonts w:hint="default" w:ascii="Wingdings" w:hAnsi="Wingdings"/>
      </w:rPr>
    </w:lvl>
  </w:abstractNum>
  <w:abstractNum w:abstractNumId="11">
    <w:nsid w:val="77AD443B"/>
    <w:multiLevelType w:val="singleLevel"/>
    <w:tmpl w:val="77AD443B"/>
    <w:lvl w:ilvl="0" w:tentative="0">
      <w:start w:val="1"/>
      <w:numFmt w:val="decimal"/>
      <w:suff w:val="space"/>
      <w:lvlText w:val="[%1]"/>
      <w:lvlJc w:val="left"/>
    </w:lvl>
  </w:abstractNum>
  <w:num w:numId="1">
    <w:abstractNumId w:val="5"/>
  </w:num>
  <w:num w:numId="2">
    <w:abstractNumId w:val="7"/>
  </w:num>
  <w:num w:numId="3">
    <w:abstractNumId w:val="1"/>
  </w:num>
  <w:num w:numId="4">
    <w:abstractNumId w:val="3"/>
  </w:num>
  <w:num w:numId="5">
    <w:abstractNumId w:val="10"/>
  </w:num>
  <w:num w:numId="6">
    <w:abstractNumId w:val="6"/>
  </w:num>
  <w:num w:numId="7">
    <w:abstractNumId w:val="8"/>
  </w:num>
  <w:num w:numId="8">
    <w:abstractNumId w:val="9"/>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49F"/>
    <w:rsid w:val="00025D9D"/>
    <w:rsid w:val="00034720"/>
    <w:rsid w:val="00050423"/>
    <w:rsid w:val="00051F4E"/>
    <w:rsid w:val="000527A3"/>
    <w:rsid w:val="000529AC"/>
    <w:rsid w:val="000715B9"/>
    <w:rsid w:val="00071FB7"/>
    <w:rsid w:val="00072FB0"/>
    <w:rsid w:val="00074DCF"/>
    <w:rsid w:val="0007790D"/>
    <w:rsid w:val="00077A1A"/>
    <w:rsid w:val="00090D39"/>
    <w:rsid w:val="00093DF3"/>
    <w:rsid w:val="000A15BE"/>
    <w:rsid w:val="000A168E"/>
    <w:rsid w:val="000A223E"/>
    <w:rsid w:val="000C00A4"/>
    <w:rsid w:val="000C1A96"/>
    <w:rsid w:val="000C7E3D"/>
    <w:rsid w:val="000D0462"/>
    <w:rsid w:val="000D08B3"/>
    <w:rsid w:val="000D627E"/>
    <w:rsid w:val="000E2433"/>
    <w:rsid w:val="000F28CA"/>
    <w:rsid w:val="001009B8"/>
    <w:rsid w:val="00103457"/>
    <w:rsid w:val="00103906"/>
    <w:rsid w:val="00105530"/>
    <w:rsid w:val="00120AF7"/>
    <w:rsid w:val="00132F21"/>
    <w:rsid w:val="00142961"/>
    <w:rsid w:val="001470AA"/>
    <w:rsid w:val="00153BF7"/>
    <w:rsid w:val="00154DBD"/>
    <w:rsid w:val="0016113B"/>
    <w:rsid w:val="001615B7"/>
    <w:rsid w:val="001632AB"/>
    <w:rsid w:val="00172A27"/>
    <w:rsid w:val="001754AE"/>
    <w:rsid w:val="00175E82"/>
    <w:rsid w:val="0018654F"/>
    <w:rsid w:val="0018732E"/>
    <w:rsid w:val="00191912"/>
    <w:rsid w:val="00195F46"/>
    <w:rsid w:val="001A1539"/>
    <w:rsid w:val="001A4568"/>
    <w:rsid w:val="001B18D3"/>
    <w:rsid w:val="001B3634"/>
    <w:rsid w:val="001B3889"/>
    <w:rsid w:val="001C1894"/>
    <w:rsid w:val="001C196F"/>
    <w:rsid w:val="001D1287"/>
    <w:rsid w:val="001D2884"/>
    <w:rsid w:val="001E006E"/>
    <w:rsid w:val="001E0651"/>
    <w:rsid w:val="001E1108"/>
    <w:rsid w:val="001E125B"/>
    <w:rsid w:val="001E262F"/>
    <w:rsid w:val="001F1BB1"/>
    <w:rsid w:val="001F2AF7"/>
    <w:rsid w:val="001F415E"/>
    <w:rsid w:val="001F6C0A"/>
    <w:rsid w:val="001F6E58"/>
    <w:rsid w:val="00203B63"/>
    <w:rsid w:val="0020406B"/>
    <w:rsid w:val="00212872"/>
    <w:rsid w:val="00215D89"/>
    <w:rsid w:val="00216169"/>
    <w:rsid w:val="002240E1"/>
    <w:rsid w:val="00224A1A"/>
    <w:rsid w:val="00227DF5"/>
    <w:rsid w:val="002320CA"/>
    <w:rsid w:val="00233A02"/>
    <w:rsid w:val="002401EC"/>
    <w:rsid w:val="00243B44"/>
    <w:rsid w:val="00244ABB"/>
    <w:rsid w:val="00244FC6"/>
    <w:rsid w:val="00247A67"/>
    <w:rsid w:val="00251814"/>
    <w:rsid w:val="002546A5"/>
    <w:rsid w:val="00256B05"/>
    <w:rsid w:val="00261BCE"/>
    <w:rsid w:val="00261C72"/>
    <w:rsid w:val="0026766E"/>
    <w:rsid w:val="00270F8C"/>
    <w:rsid w:val="002748A9"/>
    <w:rsid w:val="00282069"/>
    <w:rsid w:val="00283A0A"/>
    <w:rsid w:val="00285965"/>
    <w:rsid w:val="0029516D"/>
    <w:rsid w:val="00297949"/>
    <w:rsid w:val="002A3D98"/>
    <w:rsid w:val="002B4661"/>
    <w:rsid w:val="002C4448"/>
    <w:rsid w:val="002C68AC"/>
    <w:rsid w:val="002C7CCD"/>
    <w:rsid w:val="002D2CE9"/>
    <w:rsid w:val="002D5550"/>
    <w:rsid w:val="002E6C3A"/>
    <w:rsid w:val="002F0E7A"/>
    <w:rsid w:val="002F2535"/>
    <w:rsid w:val="002F2C7F"/>
    <w:rsid w:val="002F3FAB"/>
    <w:rsid w:val="002F5687"/>
    <w:rsid w:val="002F5A8D"/>
    <w:rsid w:val="00300D72"/>
    <w:rsid w:val="00302F20"/>
    <w:rsid w:val="00303936"/>
    <w:rsid w:val="00314748"/>
    <w:rsid w:val="00316046"/>
    <w:rsid w:val="00317501"/>
    <w:rsid w:val="00322EE2"/>
    <w:rsid w:val="00325902"/>
    <w:rsid w:val="003275A3"/>
    <w:rsid w:val="00331B70"/>
    <w:rsid w:val="00332D30"/>
    <w:rsid w:val="0033573E"/>
    <w:rsid w:val="00335FF9"/>
    <w:rsid w:val="0034009F"/>
    <w:rsid w:val="00340631"/>
    <w:rsid w:val="00343CE4"/>
    <w:rsid w:val="00344E48"/>
    <w:rsid w:val="003466BB"/>
    <w:rsid w:val="003507A6"/>
    <w:rsid w:val="00352087"/>
    <w:rsid w:val="0035253F"/>
    <w:rsid w:val="00352EF5"/>
    <w:rsid w:val="00361D52"/>
    <w:rsid w:val="003704FF"/>
    <w:rsid w:val="00370D7F"/>
    <w:rsid w:val="00372A00"/>
    <w:rsid w:val="00373667"/>
    <w:rsid w:val="003763BF"/>
    <w:rsid w:val="00376E4B"/>
    <w:rsid w:val="00376EEB"/>
    <w:rsid w:val="003872BB"/>
    <w:rsid w:val="00387E0A"/>
    <w:rsid w:val="00396F31"/>
    <w:rsid w:val="00397BA3"/>
    <w:rsid w:val="003A1DCE"/>
    <w:rsid w:val="003A4365"/>
    <w:rsid w:val="003A6BBE"/>
    <w:rsid w:val="003A7EAD"/>
    <w:rsid w:val="003B32BD"/>
    <w:rsid w:val="003B53DF"/>
    <w:rsid w:val="003B5AC2"/>
    <w:rsid w:val="003D1DE1"/>
    <w:rsid w:val="003D44C6"/>
    <w:rsid w:val="003D5CFD"/>
    <w:rsid w:val="003E52B6"/>
    <w:rsid w:val="003E7382"/>
    <w:rsid w:val="003F430B"/>
    <w:rsid w:val="003F7415"/>
    <w:rsid w:val="004003D2"/>
    <w:rsid w:val="00405325"/>
    <w:rsid w:val="00405BDD"/>
    <w:rsid w:val="00417B25"/>
    <w:rsid w:val="004209E1"/>
    <w:rsid w:val="0042238B"/>
    <w:rsid w:val="00434E27"/>
    <w:rsid w:val="00440E60"/>
    <w:rsid w:val="00444BE9"/>
    <w:rsid w:val="00450C17"/>
    <w:rsid w:val="004527B1"/>
    <w:rsid w:val="004545A5"/>
    <w:rsid w:val="004557D2"/>
    <w:rsid w:val="004608F6"/>
    <w:rsid w:val="004701C7"/>
    <w:rsid w:val="004724B4"/>
    <w:rsid w:val="00472B06"/>
    <w:rsid w:val="00477655"/>
    <w:rsid w:val="0048120F"/>
    <w:rsid w:val="00482706"/>
    <w:rsid w:val="0048728E"/>
    <w:rsid w:val="00490434"/>
    <w:rsid w:val="00494F95"/>
    <w:rsid w:val="004A142B"/>
    <w:rsid w:val="004A2759"/>
    <w:rsid w:val="004A5D1D"/>
    <w:rsid w:val="004A699E"/>
    <w:rsid w:val="004B44A9"/>
    <w:rsid w:val="004C1A54"/>
    <w:rsid w:val="004C47BE"/>
    <w:rsid w:val="004C4E0D"/>
    <w:rsid w:val="004C6979"/>
    <w:rsid w:val="004D2637"/>
    <w:rsid w:val="004E15A3"/>
    <w:rsid w:val="004E2D22"/>
    <w:rsid w:val="004E4B5D"/>
    <w:rsid w:val="004F5994"/>
    <w:rsid w:val="00500F45"/>
    <w:rsid w:val="00503921"/>
    <w:rsid w:val="00507A00"/>
    <w:rsid w:val="0051711C"/>
    <w:rsid w:val="005176E7"/>
    <w:rsid w:val="00523589"/>
    <w:rsid w:val="00523668"/>
    <w:rsid w:val="00523AD9"/>
    <w:rsid w:val="00523D5E"/>
    <w:rsid w:val="00527033"/>
    <w:rsid w:val="00531B5B"/>
    <w:rsid w:val="00532500"/>
    <w:rsid w:val="005349A5"/>
    <w:rsid w:val="005413AD"/>
    <w:rsid w:val="00541B22"/>
    <w:rsid w:val="00546436"/>
    <w:rsid w:val="00547723"/>
    <w:rsid w:val="005571B4"/>
    <w:rsid w:val="00561FA8"/>
    <w:rsid w:val="005644F6"/>
    <w:rsid w:val="00564BCB"/>
    <w:rsid w:val="005725AF"/>
    <w:rsid w:val="00572F6E"/>
    <w:rsid w:val="00574776"/>
    <w:rsid w:val="00582184"/>
    <w:rsid w:val="0058526A"/>
    <w:rsid w:val="00591099"/>
    <w:rsid w:val="00592D88"/>
    <w:rsid w:val="0059321F"/>
    <w:rsid w:val="005932F3"/>
    <w:rsid w:val="00593818"/>
    <w:rsid w:val="005A05C6"/>
    <w:rsid w:val="005A0FE9"/>
    <w:rsid w:val="005B270E"/>
    <w:rsid w:val="005B4834"/>
    <w:rsid w:val="005B77A5"/>
    <w:rsid w:val="005C4DC6"/>
    <w:rsid w:val="005C6B42"/>
    <w:rsid w:val="005D6A1C"/>
    <w:rsid w:val="005E2808"/>
    <w:rsid w:val="005E2C89"/>
    <w:rsid w:val="005F26E5"/>
    <w:rsid w:val="005F7062"/>
    <w:rsid w:val="00603844"/>
    <w:rsid w:val="00604404"/>
    <w:rsid w:val="006059E5"/>
    <w:rsid w:val="00611232"/>
    <w:rsid w:val="0061209C"/>
    <w:rsid w:val="00614E28"/>
    <w:rsid w:val="00617327"/>
    <w:rsid w:val="00617EE7"/>
    <w:rsid w:val="00620288"/>
    <w:rsid w:val="00620D7C"/>
    <w:rsid w:val="006231ED"/>
    <w:rsid w:val="00624C23"/>
    <w:rsid w:val="00633E43"/>
    <w:rsid w:val="00637D11"/>
    <w:rsid w:val="00640B94"/>
    <w:rsid w:val="00641393"/>
    <w:rsid w:val="00642298"/>
    <w:rsid w:val="00646EAA"/>
    <w:rsid w:val="006501AA"/>
    <w:rsid w:val="00650859"/>
    <w:rsid w:val="00650A2A"/>
    <w:rsid w:val="006536B8"/>
    <w:rsid w:val="00653F4E"/>
    <w:rsid w:val="00666C58"/>
    <w:rsid w:val="00674C9A"/>
    <w:rsid w:val="00676C72"/>
    <w:rsid w:val="0067758E"/>
    <w:rsid w:val="00677A59"/>
    <w:rsid w:val="00680FFF"/>
    <w:rsid w:val="00691376"/>
    <w:rsid w:val="006922EF"/>
    <w:rsid w:val="00694FB9"/>
    <w:rsid w:val="006A2804"/>
    <w:rsid w:val="006A2CFE"/>
    <w:rsid w:val="006A5C28"/>
    <w:rsid w:val="006B0580"/>
    <w:rsid w:val="006C2229"/>
    <w:rsid w:val="006C43C7"/>
    <w:rsid w:val="006C55B1"/>
    <w:rsid w:val="006C5D5E"/>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60D"/>
    <w:rsid w:val="0071482B"/>
    <w:rsid w:val="00717A38"/>
    <w:rsid w:val="00722198"/>
    <w:rsid w:val="00722950"/>
    <w:rsid w:val="0073053B"/>
    <w:rsid w:val="00735DC1"/>
    <w:rsid w:val="00737786"/>
    <w:rsid w:val="007427BB"/>
    <w:rsid w:val="007440A2"/>
    <w:rsid w:val="00745143"/>
    <w:rsid w:val="00747C56"/>
    <w:rsid w:val="007501AC"/>
    <w:rsid w:val="00756124"/>
    <w:rsid w:val="00762F1B"/>
    <w:rsid w:val="00765BCF"/>
    <w:rsid w:val="0076682E"/>
    <w:rsid w:val="007728A8"/>
    <w:rsid w:val="0077581A"/>
    <w:rsid w:val="0077761A"/>
    <w:rsid w:val="00784828"/>
    <w:rsid w:val="00785A2A"/>
    <w:rsid w:val="00786A2C"/>
    <w:rsid w:val="00786F84"/>
    <w:rsid w:val="00787FA9"/>
    <w:rsid w:val="007A0CD8"/>
    <w:rsid w:val="007A2857"/>
    <w:rsid w:val="007B0FD9"/>
    <w:rsid w:val="007B166E"/>
    <w:rsid w:val="007B18C1"/>
    <w:rsid w:val="007B33D8"/>
    <w:rsid w:val="007B403E"/>
    <w:rsid w:val="007B447A"/>
    <w:rsid w:val="007B458B"/>
    <w:rsid w:val="007B76C9"/>
    <w:rsid w:val="007C1010"/>
    <w:rsid w:val="007C4328"/>
    <w:rsid w:val="007C440F"/>
    <w:rsid w:val="007C47F6"/>
    <w:rsid w:val="007D2659"/>
    <w:rsid w:val="007D2C32"/>
    <w:rsid w:val="007D4A27"/>
    <w:rsid w:val="007E4A23"/>
    <w:rsid w:val="007E710C"/>
    <w:rsid w:val="007F39F4"/>
    <w:rsid w:val="00802A15"/>
    <w:rsid w:val="008036A8"/>
    <w:rsid w:val="00810C42"/>
    <w:rsid w:val="0081583C"/>
    <w:rsid w:val="00816EF3"/>
    <w:rsid w:val="008226B2"/>
    <w:rsid w:val="008266C4"/>
    <w:rsid w:val="00830F1E"/>
    <w:rsid w:val="008412CD"/>
    <w:rsid w:val="00842BFF"/>
    <w:rsid w:val="0084332A"/>
    <w:rsid w:val="00847621"/>
    <w:rsid w:val="00852635"/>
    <w:rsid w:val="0085443B"/>
    <w:rsid w:val="00857E93"/>
    <w:rsid w:val="0086098A"/>
    <w:rsid w:val="00860AD1"/>
    <w:rsid w:val="008652E8"/>
    <w:rsid w:val="00870679"/>
    <w:rsid w:val="00870E40"/>
    <w:rsid w:val="00881540"/>
    <w:rsid w:val="00886E49"/>
    <w:rsid w:val="00886EA7"/>
    <w:rsid w:val="00886F49"/>
    <w:rsid w:val="00892B4C"/>
    <w:rsid w:val="00893268"/>
    <w:rsid w:val="0089344F"/>
    <w:rsid w:val="00894520"/>
    <w:rsid w:val="00897ABC"/>
    <w:rsid w:val="008A1817"/>
    <w:rsid w:val="008A72B5"/>
    <w:rsid w:val="008B3130"/>
    <w:rsid w:val="008B363D"/>
    <w:rsid w:val="008B547D"/>
    <w:rsid w:val="008B5C48"/>
    <w:rsid w:val="008B6EF0"/>
    <w:rsid w:val="008B7F10"/>
    <w:rsid w:val="008C0445"/>
    <w:rsid w:val="008C2278"/>
    <w:rsid w:val="008D3ED9"/>
    <w:rsid w:val="008E1E4D"/>
    <w:rsid w:val="008F255E"/>
    <w:rsid w:val="008F3DC8"/>
    <w:rsid w:val="00901BD8"/>
    <w:rsid w:val="00903896"/>
    <w:rsid w:val="00903A35"/>
    <w:rsid w:val="00913703"/>
    <w:rsid w:val="00920E7A"/>
    <w:rsid w:val="00922624"/>
    <w:rsid w:val="00923BDA"/>
    <w:rsid w:val="0093617A"/>
    <w:rsid w:val="009411A5"/>
    <w:rsid w:val="00942AEE"/>
    <w:rsid w:val="00946A7C"/>
    <w:rsid w:val="00947739"/>
    <w:rsid w:val="00950DB1"/>
    <w:rsid w:val="00952C83"/>
    <w:rsid w:val="00956A30"/>
    <w:rsid w:val="00957329"/>
    <w:rsid w:val="00957418"/>
    <w:rsid w:val="009610C6"/>
    <w:rsid w:val="0096194F"/>
    <w:rsid w:val="00963243"/>
    <w:rsid w:val="009648EE"/>
    <w:rsid w:val="00966682"/>
    <w:rsid w:val="00966E7D"/>
    <w:rsid w:val="00970630"/>
    <w:rsid w:val="00971A1F"/>
    <w:rsid w:val="00973243"/>
    <w:rsid w:val="009734B7"/>
    <w:rsid w:val="00975F1A"/>
    <w:rsid w:val="00983FE2"/>
    <w:rsid w:val="00986B97"/>
    <w:rsid w:val="00994A41"/>
    <w:rsid w:val="009A319E"/>
    <w:rsid w:val="009A380A"/>
    <w:rsid w:val="009A3A36"/>
    <w:rsid w:val="009A4F31"/>
    <w:rsid w:val="009B05AD"/>
    <w:rsid w:val="009B18A3"/>
    <w:rsid w:val="009B5557"/>
    <w:rsid w:val="009C6F28"/>
    <w:rsid w:val="009D5B5E"/>
    <w:rsid w:val="009D6400"/>
    <w:rsid w:val="009D6675"/>
    <w:rsid w:val="009D7770"/>
    <w:rsid w:val="009D7C12"/>
    <w:rsid w:val="009F03F7"/>
    <w:rsid w:val="009F1287"/>
    <w:rsid w:val="009F65A8"/>
    <w:rsid w:val="009F7747"/>
    <w:rsid w:val="00A00A06"/>
    <w:rsid w:val="00A00FEE"/>
    <w:rsid w:val="00A05A33"/>
    <w:rsid w:val="00A05BC1"/>
    <w:rsid w:val="00A12854"/>
    <w:rsid w:val="00A14F22"/>
    <w:rsid w:val="00A17009"/>
    <w:rsid w:val="00A171E5"/>
    <w:rsid w:val="00A17810"/>
    <w:rsid w:val="00A212A7"/>
    <w:rsid w:val="00A21523"/>
    <w:rsid w:val="00A26720"/>
    <w:rsid w:val="00A33BD9"/>
    <w:rsid w:val="00A37C92"/>
    <w:rsid w:val="00A404DD"/>
    <w:rsid w:val="00A40C3F"/>
    <w:rsid w:val="00A4182C"/>
    <w:rsid w:val="00A50B2A"/>
    <w:rsid w:val="00A51740"/>
    <w:rsid w:val="00A54A48"/>
    <w:rsid w:val="00A551E2"/>
    <w:rsid w:val="00A56849"/>
    <w:rsid w:val="00A656E5"/>
    <w:rsid w:val="00A809DB"/>
    <w:rsid w:val="00A83C13"/>
    <w:rsid w:val="00A856D8"/>
    <w:rsid w:val="00A86EB5"/>
    <w:rsid w:val="00A91773"/>
    <w:rsid w:val="00A92854"/>
    <w:rsid w:val="00A92CA8"/>
    <w:rsid w:val="00A93B7B"/>
    <w:rsid w:val="00A94D9B"/>
    <w:rsid w:val="00A967AB"/>
    <w:rsid w:val="00A9760D"/>
    <w:rsid w:val="00AA1889"/>
    <w:rsid w:val="00AB0AAF"/>
    <w:rsid w:val="00AB251B"/>
    <w:rsid w:val="00AB5108"/>
    <w:rsid w:val="00AB6D34"/>
    <w:rsid w:val="00AC24BF"/>
    <w:rsid w:val="00AC3815"/>
    <w:rsid w:val="00AD1831"/>
    <w:rsid w:val="00AD56C4"/>
    <w:rsid w:val="00AD7FE5"/>
    <w:rsid w:val="00AE5530"/>
    <w:rsid w:val="00AF050A"/>
    <w:rsid w:val="00AF6973"/>
    <w:rsid w:val="00B031EF"/>
    <w:rsid w:val="00B07839"/>
    <w:rsid w:val="00B110EA"/>
    <w:rsid w:val="00B11405"/>
    <w:rsid w:val="00B12602"/>
    <w:rsid w:val="00B138E9"/>
    <w:rsid w:val="00B15B99"/>
    <w:rsid w:val="00B179E3"/>
    <w:rsid w:val="00B21480"/>
    <w:rsid w:val="00B245AA"/>
    <w:rsid w:val="00B34FF8"/>
    <w:rsid w:val="00B43645"/>
    <w:rsid w:val="00B51104"/>
    <w:rsid w:val="00B5181A"/>
    <w:rsid w:val="00B52BE9"/>
    <w:rsid w:val="00B54730"/>
    <w:rsid w:val="00B56091"/>
    <w:rsid w:val="00B60F6C"/>
    <w:rsid w:val="00B663FA"/>
    <w:rsid w:val="00B71B7A"/>
    <w:rsid w:val="00B72848"/>
    <w:rsid w:val="00B731A6"/>
    <w:rsid w:val="00B76824"/>
    <w:rsid w:val="00B768A1"/>
    <w:rsid w:val="00B81A95"/>
    <w:rsid w:val="00B81C3C"/>
    <w:rsid w:val="00B87AB7"/>
    <w:rsid w:val="00B9070B"/>
    <w:rsid w:val="00B9379C"/>
    <w:rsid w:val="00B96E00"/>
    <w:rsid w:val="00BA1E14"/>
    <w:rsid w:val="00BA72B7"/>
    <w:rsid w:val="00BA7674"/>
    <w:rsid w:val="00BB08C4"/>
    <w:rsid w:val="00BC0005"/>
    <w:rsid w:val="00BC4A25"/>
    <w:rsid w:val="00BD33A2"/>
    <w:rsid w:val="00BD49FA"/>
    <w:rsid w:val="00BD72A5"/>
    <w:rsid w:val="00BE22EC"/>
    <w:rsid w:val="00BE5D22"/>
    <w:rsid w:val="00BE7970"/>
    <w:rsid w:val="00BE7A8C"/>
    <w:rsid w:val="00BF526E"/>
    <w:rsid w:val="00BF61CA"/>
    <w:rsid w:val="00BF743C"/>
    <w:rsid w:val="00BF78E9"/>
    <w:rsid w:val="00C00906"/>
    <w:rsid w:val="00C014A9"/>
    <w:rsid w:val="00C07C74"/>
    <w:rsid w:val="00C111FE"/>
    <w:rsid w:val="00C12784"/>
    <w:rsid w:val="00C16276"/>
    <w:rsid w:val="00C2142E"/>
    <w:rsid w:val="00C22FCF"/>
    <w:rsid w:val="00C2334E"/>
    <w:rsid w:val="00C2713A"/>
    <w:rsid w:val="00C34FD0"/>
    <w:rsid w:val="00C36B6D"/>
    <w:rsid w:val="00C40AA1"/>
    <w:rsid w:val="00C52664"/>
    <w:rsid w:val="00C5791E"/>
    <w:rsid w:val="00C625E3"/>
    <w:rsid w:val="00C65B20"/>
    <w:rsid w:val="00C67AE3"/>
    <w:rsid w:val="00C76271"/>
    <w:rsid w:val="00C829B3"/>
    <w:rsid w:val="00C855D2"/>
    <w:rsid w:val="00C925E7"/>
    <w:rsid w:val="00CA09F5"/>
    <w:rsid w:val="00CA0D16"/>
    <w:rsid w:val="00CA152B"/>
    <w:rsid w:val="00CB03D7"/>
    <w:rsid w:val="00CB046A"/>
    <w:rsid w:val="00CB4602"/>
    <w:rsid w:val="00CB7FB3"/>
    <w:rsid w:val="00CC01B0"/>
    <w:rsid w:val="00CC11A8"/>
    <w:rsid w:val="00CC4B0A"/>
    <w:rsid w:val="00CD2029"/>
    <w:rsid w:val="00CD5E4A"/>
    <w:rsid w:val="00CD62C4"/>
    <w:rsid w:val="00CD71E9"/>
    <w:rsid w:val="00CE058C"/>
    <w:rsid w:val="00CE32ED"/>
    <w:rsid w:val="00CF0062"/>
    <w:rsid w:val="00CF25E8"/>
    <w:rsid w:val="00CF4293"/>
    <w:rsid w:val="00D06F00"/>
    <w:rsid w:val="00D133A3"/>
    <w:rsid w:val="00D133A5"/>
    <w:rsid w:val="00D14578"/>
    <w:rsid w:val="00D17260"/>
    <w:rsid w:val="00D22C2E"/>
    <w:rsid w:val="00D24465"/>
    <w:rsid w:val="00D27BF8"/>
    <w:rsid w:val="00D30D70"/>
    <w:rsid w:val="00D30FF6"/>
    <w:rsid w:val="00D32F78"/>
    <w:rsid w:val="00D40A54"/>
    <w:rsid w:val="00D471A9"/>
    <w:rsid w:val="00D5459A"/>
    <w:rsid w:val="00D54F1B"/>
    <w:rsid w:val="00D57D7B"/>
    <w:rsid w:val="00D60DA9"/>
    <w:rsid w:val="00D63147"/>
    <w:rsid w:val="00D654E0"/>
    <w:rsid w:val="00D714E2"/>
    <w:rsid w:val="00D7289E"/>
    <w:rsid w:val="00D82CF5"/>
    <w:rsid w:val="00D838A0"/>
    <w:rsid w:val="00D8550E"/>
    <w:rsid w:val="00D871C4"/>
    <w:rsid w:val="00D8785A"/>
    <w:rsid w:val="00D91349"/>
    <w:rsid w:val="00D92E3B"/>
    <w:rsid w:val="00D93BC0"/>
    <w:rsid w:val="00D959EE"/>
    <w:rsid w:val="00DB0E95"/>
    <w:rsid w:val="00DB12AD"/>
    <w:rsid w:val="00DB26BC"/>
    <w:rsid w:val="00DC0C4F"/>
    <w:rsid w:val="00DC1213"/>
    <w:rsid w:val="00DC6E1E"/>
    <w:rsid w:val="00DC70F6"/>
    <w:rsid w:val="00DC724A"/>
    <w:rsid w:val="00DD5F49"/>
    <w:rsid w:val="00DE5E74"/>
    <w:rsid w:val="00DE66DB"/>
    <w:rsid w:val="00DF4482"/>
    <w:rsid w:val="00E05651"/>
    <w:rsid w:val="00E068AA"/>
    <w:rsid w:val="00E0780F"/>
    <w:rsid w:val="00E15DED"/>
    <w:rsid w:val="00E258FC"/>
    <w:rsid w:val="00E30348"/>
    <w:rsid w:val="00E31DA6"/>
    <w:rsid w:val="00E339EA"/>
    <w:rsid w:val="00E4535E"/>
    <w:rsid w:val="00E52879"/>
    <w:rsid w:val="00E53A27"/>
    <w:rsid w:val="00E552BE"/>
    <w:rsid w:val="00E55791"/>
    <w:rsid w:val="00E56340"/>
    <w:rsid w:val="00E64FD4"/>
    <w:rsid w:val="00E67009"/>
    <w:rsid w:val="00E704FD"/>
    <w:rsid w:val="00E70594"/>
    <w:rsid w:val="00E73932"/>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1111"/>
    <w:rsid w:val="00ED47A7"/>
    <w:rsid w:val="00EE1EE7"/>
    <w:rsid w:val="00EF4A28"/>
    <w:rsid w:val="00EF6AF5"/>
    <w:rsid w:val="00F019E9"/>
    <w:rsid w:val="00F03760"/>
    <w:rsid w:val="00F05C53"/>
    <w:rsid w:val="00F05DFC"/>
    <w:rsid w:val="00F072E8"/>
    <w:rsid w:val="00F143A1"/>
    <w:rsid w:val="00F1480F"/>
    <w:rsid w:val="00F179F3"/>
    <w:rsid w:val="00F2072B"/>
    <w:rsid w:val="00F32B6D"/>
    <w:rsid w:val="00F34277"/>
    <w:rsid w:val="00F34CA1"/>
    <w:rsid w:val="00F4372E"/>
    <w:rsid w:val="00F453FE"/>
    <w:rsid w:val="00F63346"/>
    <w:rsid w:val="00F71825"/>
    <w:rsid w:val="00F749AE"/>
    <w:rsid w:val="00F80169"/>
    <w:rsid w:val="00F81514"/>
    <w:rsid w:val="00F82200"/>
    <w:rsid w:val="00F82B86"/>
    <w:rsid w:val="00F84700"/>
    <w:rsid w:val="00F85FAD"/>
    <w:rsid w:val="00F86352"/>
    <w:rsid w:val="00F87040"/>
    <w:rsid w:val="00F870DD"/>
    <w:rsid w:val="00F9445C"/>
    <w:rsid w:val="00F95A32"/>
    <w:rsid w:val="00FA0BE4"/>
    <w:rsid w:val="00FA1D8A"/>
    <w:rsid w:val="00FA3FD9"/>
    <w:rsid w:val="00FA6AF6"/>
    <w:rsid w:val="00FA7D65"/>
    <w:rsid w:val="00FB593A"/>
    <w:rsid w:val="00FC1AD0"/>
    <w:rsid w:val="00FC20D8"/>
    <w:rsid w:val="00FC396F"/>
    <w:rsid w:val="00FC3D4E"/>
    <w:rsid w:val="00FC6D99"/>
    <w:rsid w:val="00FC72FB"/>
    <w:rsid w:val="00FD162B"/>
    <w:rsid w:val="00FE08CB"/>
    <w:rsid w:val="00FE0900"/>
    <w:rsid w:val="00FE391D"/>
    <w:rsid w:val="00FE3C08"/>
    <w:rsid w:val="00FF1505"/>
    <w:rsid w:val="010D0267"/>
    <w:rsid w:val="010D6400"/>
    <w:rsid w:val="01116D56"/>
    <w:rsid w:val="011C7F2E"/>
    <w:rsid w:val="01466B34"/>
    <w:rsid w:val="015462A2"/>
    <w:rsid w:val="01804EE8"/>
    <w:rsid w:val="01864AED"/>
    <w:rsid w:val="01881F56"/>
    <w:rsid w:val="01964B54"/>
    <w:rsid w:val="01B74129"/>
    <w:rsid w:val="01C652D7"/>
    <w:rsid w:val="01E24E7A"/>
    <w:rsid w:val="01E96EEF"/>
    <w:rsid w:val="0206750A"/>
    <w:rsid w:val="02081A95"/>
    <w:rsid w:val="020C3735"/>
    <w:rsid w:val="020E6060"/>
    <w:rsid w:val="0213167F"/>
    <w:rsid w:val="021919F7"/>
    <w:rsid w:val="021F5697"/>
    <w:rsid w:val="022E311A"/>
    <w:rsid w:val="023223C0"/>
    <w:rsid w:val="023E4DC6"/>
    <w:rsid w:val="02443513"/>
    <w:rsid w:val="024C16A6"/>
    <w:rsid w:val="027B6543"/>
    <w:rsid w:val="027C2452"/>
    <w:rsid w:val="0294765E"/>
    <w:rsid w:val="029C3C9F"/>
    <w:rsid w:val="02A23A7B"/>
    <w:rsid w:val="02BE42E8"/>
    <w:rsid w:val="02D83CB1"/>
    <w:rsid w:val="030B000A"/>
    <w:rsid w:val="031A6DDF"/>
    <w:rsid w:val="032219B3"/>
    <w:rsid w:val="035F7137"/>
    <w:rsid w:val="0368661B"/>
    <w:rsid w:val="03F50BF8"/>
    <w:rsid w:val="03F74A6D"/>
    <w:rsid w:val="03F757EE"/>
    <w:rsid w:val="040D5006"/>
    <w:rsid w:val="04176B15"/>
    <w:rsid w:val="04250069"/>
    <w:rsid w:val="04332B60"/>
    <w:rsid w:val="044D1A33"/>
    <w:rsid w:val="04AE2AFE"/>
    <w:rsid w:val="04B147BC"/>
    <w:rsid w:val="04BB6B80"/>
    <w:rsid w:val="04BC60C1"/>
    <w:rsid w:val="04C16682"/>
    <w:rsid w:val="04C30E81"/>
    <w:rsid w:val="04D2235B"/>
    <w:rsid w:val="04D92E2A"/>
    <w:rsid w:val="04E942AF"/>
    <w:rsid w:val="05072F43"/>
    <w:rsid w:val="051A21ED"/>
    <w:rsid w:val="052A4C6E"/>
    <w:rsid w:val="05396067"/>
    <w:rsid w:val="053962A9"/>
    <w:rsid w:val="05421686"/>
    <w:rsid w:val="054B7C66"/>
    <w:rsid w:val="054E3F97"/>
    <w:rsid w:val="054F7EC4"/>
    <w:rsid w:val="055B1BFB"/>
    <w:rsid w:val="055F3E8F"/>
    <w:rsid w:val="05631304"/>
    <w:rsid w:val="05965B13"/>
    <w:rsid w:val="0598142B"/>
    <w:rsid w:val="059D4CDE"/>
    <w:rsid w:val="05AA751F"/>
    <w:rsid w:val="05AB3E4C"/>
    <w:rsid w:val="05C40254"/>
    <w:rsid w:val="05D45DE8"/>
    <w:rsid w:val="05DD3B0E"/>
    <w:rsid w:val="060C6916"/>
    <w:rsid w:val="0613399B"/>
    <w:rsid w:val="061E71D7"/>
    <w:rsid w:val="064D537E"/>
    <w:rsid w:val="06541F59"/>
    <w:rsid w:val="06551195"/>
    <w:rsid w:val="067056D9"/>
    <w:rsid w:val="067A5C39"/>
    <w:rsid w:val="067F5C8B"/>
    <w:rsid w:val="06883795"/>
    <w:rsid w:val="069258CC"/>
    <w:rsid w:val="06A12B72"/>
    <w:rsid w:val="06D94F62"/>
    <w:rsid w:val="06E67100"/>
    <w:rsid w:val="06E930D6"/>
    <w:rsid w:val="06F31780"/>
    <w:rsid w:val="06F9688C"/>
    <w:rsid w:val="06FA3145"/>
    <w:rsid w:val="07372476"/>
    <w:rsid w:val="07395562"/>
    <w:rsid w:val="073C0F1E"/>
    <w:rsid w:val="07573824"/>
    <w:rsid w:val="075A5568"/>
    <w:rsid w:val="077046F9"/>
    <w:rsid w:val="07816512"/>
    <w:rsid w:val="0797540B"/>
    <w:rsid w:val="07C51163"/>
    <w:rsid w:val="07C66C49"/>
    <w:rsid w:val="07EE44A5"/>
    <w:rsid w:val="07EE658E"/>
    <w:rsid w:val="07F63B68"/>
    <w:rsid w:val="07FE43B3"/>
    <w:rsid w:val="07FF469C"/>
    <w:rsid w:val="08067A83"/>
    <w:rsid w:val="080C2DB1"/>
    <w:rsid w:val="083900EE"/>
    <w:rsid w:val="084F55D9"/>
    <w:rsid w:val="087807B5"/>
    <w:rsid w:val="087C2BF1"/>
    <w:rsid w:val="089D4BC3"/>
    <w:rsid w:val="08A367A0"/>
    <w:rsid w:val="08A51783"/>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9F12077"/>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717128"/>
    <w:rsid w:val="0B867DD4"/>
    <w:rsid w:val="0B8906D5"/>
    <w:rsid w:val="0B990F05"/>
    <w:rsid w:val="0BA163C4"/>
    <w:rsid w:val="0BBA4C3E"/>
    <w:rsid w:val="0BC527E7"/>
    <w:rsid w:val="0BDE30C9"/>
    <w:rsid w:val="0BE9216B"/>
    <w:rsid w:val="0C04199B"/>
    <w:rsid w:val="0C0B0A79"/>
    <w:rsid w:val="0C182984"/>
    <w:rsid w:val="0C233DDB"/>
    <w:rsid w:val="0C243614"/>
    <w:rsid w:val="0C25216F"/>
    <w:rsid w:val="0C277EFD"/>
    <w:rsid w:val="0C641CE4"/>
    <w:rsid w:val="0C73512F"/>
    <w:rsid w:val="0C8E4C85"/>
    <w:rsid w:val="0C9A21C7"/>
    <w:rsid w:val="0CA6624D"/>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91486"/>
    <w:rsid w:val="0DDA5E66"/>
    <w:rsid w:val="0DE30416"/>
    <w:rsid w:val="0DE80CCD"/>
    <w:rsid w:val="0DE92A73"/>
    <w:rsid w:val="0DFC6FB1"/>
    <w:rsid w:val="0E1B6666"/>
    <w:rsid w:val="0E342F61"/>
    <w:rsid w:val="0E546450"/>
    <w:rsid w:val="0E6A657A"/>
    <w:rsid w:val="0E773123"/>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43C7E"/>
    <w:rsid w:val="125B107A"/>
    <w:rsid w:val="12753E07"/>
    <w:rsid w:val="127B28B7"/>
    <w:rsid w:val="129245E5"/>
    <w:rsid w:val="12C10D7D"/>
    <w:rsid w:val="12CE1204"/>
    <w:rsid w:val="12F06EE1"/>
    <w:rsid w:val="12F32533"/>
    <w:rsid w:val="12F34854"/>
    <w:rsid w:val="12FA556F"/>
    <w:rsid w:val="13153AEF"/>
    <w:rsid w:val="134F7B0B"/>
    <w:rsid w:val="13683A5C"/>
    <w:rsid w:val="136F04B1"/>
    <w:rsid w:val="137C5217"/>
    <w:rsid w:val="13917553"/>
    <w:rsid w:val="13B07F3E"/>
    <w:rsid w:val="13B26405"/>
    <w:rsid w:val="13BF5ED3"/>
    <w:rsid w:val="13CD2A05"/>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224871"/>
    <w:rsid w:val="15233776"/>
    <w:rsid w:val="156542CB"/>
    <w:rsid w:val="158014E9"/>
    <w:rsid w:val="158A5B50"/>
    <w:rsid w:val="159F23B3"/>
    <w:rsid w:val="15A2498C"/>
    <w:rsid w:val="15B66B91"/>
    <w:rsid w:val="15C3420A"/>
    <w:rsid w:val="15E47F68"/>
    <w:rsid w:val="15F42065"/>
    <w:rsid w:val="15FF6EEC"/>
    <w:rsid w:val="16041E01"/>
    <w:rsid w:val="161A0996"/>
    <w:rsid w:val="16232CF9"/>
    <w:rsid w:val="16262029"/>
    <w:rsid w:val="16397749"/>
    <w:rsid w:val="16406CEA"/>
    <w:rsid w:val="16526E7C"/>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736480"/>
    <w:rsid w:val="1780422F"/>
    <w:rsid w:val="17A75F25"/>
    <w:rsid w:val="17B86409"/>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05594"/>
    <w:rsid w:val="1B0270FF"/>
    <w:rsid w:val="1B180E74"/>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63E18"/>
    <w:rsid w:val="1C8D49BF"/>
    <w:rsid w:val="1C9F1651"/>
    <w:rsid w:val="1CEB46F7"/>
    <w:rsid w:val="1D23735C"/>
    <w:rsid w:val="1D54071F"/>
    <w:rsid w:val="1D6451C6"/>
    <w:rsid w:val="1D654C9F"/>
    <w:rsid w:val="1D69417C"/>
    <w:rsid w:val="1D71005A"/>
    <w:rsid w:val="1D807289"/>
    <w:rsid w:val="1D8E233B"/>
    <w:rsid w:val="1D964A17"/>
    <w:rsid w:val="1D975DF7"/>
    <w:rsid w:val="1D9B123D"/>
    <w:rsid w:val="1D9E12E8"/>
    <w:rsid w:val="1DCB4927"/>
    <w:rsid w:val="1DD160A6"/>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1FFA0915"/>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72F14"/>
    <w:rsid w:val="20DD7F39"/>
    <w:rsid w:val="20E24774"/>
    <w:rsid w:val="20E81DD4"/>
    <w:rsid w:val="20F25221"/>
    <w:rsid w:val="21145BE0"/>
    <w:rsid w:val="21440678"/>
    <w:rsid w:val="21464716"/>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814EF8"/>
    <w:rsid w:val="22B0252A"/>
    <w:rsid w:val="22D75BB2"/>
    <w:rsid w:val="22DB06FA"/>
    <w:rsid w:val="22E819D8"/>
    <w:rsid w:val="22F57E73"/>
    <w:rsid w:val="231523F7"/>
    <w:rsid w:val="231777AF"/>
    <w:rsid w:val="234B605E"/>
    <w:rsid w:val="235133E3"/>
    <w:rsid w:val="23560A29"/>
    <w:rsid w:val="235F59AB"/>
    <w:rsid w:val="237D64A7"/>
    <w:rsid w:val="238A4219"/>
    <w:rsid w:val="239051E5"/>
    <w:rsid w:val="23924A0F"/>
    <w:rsid w:val="23987B60"/>
    <w:rsid w:val="239D13E8"/>
    <w:rsid w:val="239F6D5D"/>
    <w:rsid w:val="239F7F68"/>
    <w:rsid w:val="23CE130B"/>
    <w:rsid w:val="23ED0F94"/>
    <w:rsid w:val="23F85606"/>
    <w:rsid w:val="23FC3011"/>
    <w:rsid w:val="2401741A"/>
    <w:rsid w:val="240D18BD"/>
    <w:rsid w:val="246E404E"/>
    <w:rsid w:val="247F538E"/>
    <w:rsid w:val="248114CC"/>
    <w:rsid w:val="24A3249E"/>
    <w:rsid w:val="24A62D02"/>
    <w:rsid w:val="24AF069B"/>
    <w:rsid w:val="24AF1929"/>
    <w:rsid w:val="24B63D40"/>
    <w:rsid w:val="24C674E1"/>
    <w:rsid w:val="24C8317D"/>
    <w:rsid w:val="24FA0B67"/>
    <w:rsid w:val="25082A0B"/>
    <w:rsid w:val="252A182D"/>
    <w:rsid w:val="252A5544"/>
    <w:rsid w:val="25417958"/>
    <w:rsid w:val="254369E7"/>
    <w:rsid w:val="25494E1D"/>
    <w:rsid w:val="257A74F9"/>
    <w:rsid w:val="25895A3D"/>
    <w:rsid w:val="258D735D"/>
    <w:rsid w:val="259A68BC"/>
    <w:rsid w:val="25D1716B"/>
    <w:rsid w:val="25DF6A97"/>
    <w:rsid w:val="25E1643C"/>
    <w:rsid w:val="25E6024A"/>
    <w:rsid w:val="25EA0F86"/>
    <w:rsid w:val="2614068C"/>
    <w:rsid w:val="26212585"/>
    <w:rsid w:val="26282ED7"/>
    <w:rsid w:val="265B6DE8"/>
    <w:rsid w:val="265F04C1"/>
    <w:rsid w:val="267440C5"/>
    <w:rsid w:val="267548DA"/>
    <w:rsid w:val="268C256C"/>
    <w:rsid w:val="269F48BD"/>
    <w:rsid w:val="26A7223A"/>
    <w:rsid w:val="26F23979"/>
    <w:rsid w:val="272A1178"/>
    <w:rsid w:val="272D26C8"/>
    <w:rsid w:val="27370B52"/>
    <w:rsid w:val="274604BA"/>
    <w:rsid w:val="27530B85"/>
    <w:rsid w:val="27537ACC"/>
    <w:rsid w:val="276C2A3C"/>
    <w:rsid w:val="27743788"/>
    <w:rsid w:val="277B261F"/>
    <w:rsid w:val="27962ACA"/>
    <w:rsid w:val="279B5A93"/>
    <w:rsid w:val="27A35CC1"/>
    <w:rsid w:val="27A6429A"/>
    <w:rsid w:val="27AD08FF"/>
    <w:rsid w:val="27D72DD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7C4141"/>
    <w:rsid w:val="29962D19"/>
    <w:rsid w:val="29AD3BB2"/>
    <w:rsid w:val="29B4309C"/>
    <w:rsid w:val="29C30BAC"/>
    <w:rsid w:val="29CD7458"/>
    <w:rsid w:val="29D9048F"/>
    <w:rsid w:val="29EF70CC"/>
    <w:rsid w:val="2A1847D7"/>
    <w:rsid w:val="2A1C62F4"/>
    <w:rsid w:val="2A5F0A9A"/>
    <w:rsid w:val="2A802A87"/>
    <w:rsid w:val="2A931BB9"/>
    <w:rsid w:val="2A9D346A"/>
    <w:rsid w:val="2AA3048F"/>
    <w:rsid w:val="2AB51A38"/>
    <w:rsid w:val="2AB903D8"/>
    <w:rsid w:val="2AC85DB9"/>
    <w:rsid w:val="2ACD6CCC"/>
    <w:rsid w:val="2ADF720A"/>
    <w:rsid w:val="2AEE4512"/>
    <w:rsid w:val="2B341240"/>
    <w:rsid w:val="2B34584A"/>
    <w:rsid w:val="2B64015F"/>
    <w:rsid w:val="2B644948"/>
    <w:rsid w:val="2B7C6921"/>
    <w:rsid w:val="2B9C4F86"/>
    <w:rsid w:val="2BCC6FF0"/>
    <w:rsid w:val="2BFE1EDB"/>
    <w:rsid w:val="2C001968"/>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4D5160"/>
    <w:rsid w:val="2D610EF1"/>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157C2"/>
    <w:rsid w:val="2E720143"/>
    <w:rsid w:val="2E852BFA"/>
    <w:rsid w:val="2EB72D84"/>
    <w:rsid w:val="2EE359E2"/>
    <w:rsid w:val="2EEC1574"/>
    <w:rsid w:val="2F1B43C7"/>
    <w:rsid w:val="2F4B55D7"/>
    <w:rsid w:val="2F5604CA"/>
    <w:rsid w:val="2F592F8F"/>
    <w:rsid w:val="2F67478A"/>
    <w:rsid w:val="2FA36E63"/>
    <w:rsid w:val="2FC33170"/>
    <w:rsid w:val="2FD352CF"/>
    <w:rsid w:val="2FD66838"/>
    <w:rsid w:val="2FDB72F7"/>
    <w:rsid w:val="2FE5642E"/>
    <w:rsid w:val="300E7DD2"/>
    <w:rsid w:val="30144DFE"/>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0DA5"/>
    <w:rsid w:val="316D5BBF"/>
    <w:rsid w:val="3170139F"/>
    <w:rsid w:val="317213BC"/>
    <w:rsid w:val="317D02F3"/>
    <w:rsid w:val="319567AC"/>
    <w:rsid w:val="31AC3F23"/>
    <w:rsid w:val="31D94323"/>
    <w:rsid w:val="31F43EF2"/>
    <w:rsid w:val="320F656E"/>
    <w:rsid w:val="3229313A"/>
    <w:rsid w:val="322A09EC"/>
    <w:rsid w:val="322D0ED1"/>
    <w:rsid w:val="322E6D47"/>
    <w:rsid w:val="32343227"/>
    <w:rsid w:val="324748F5"/>
    <w:rsid w:val="326E78C8"/>
    <w:rsid w:val="327945B0"/>
    <w:rsid w:val="32AD5AEA"/>
    <w:rsid w:val="32B53B00"/>
    <w:rsid w:val="32C3640C"/>
    <w:rsid w:val="32C47E69"/>
    <w:rsid w:val="32DF4B9C"/>
    <w:rsid w:val="32EE5E66"/>
    <w:rsid w:val="32F707FF"/>
    <w:rsid w:val="32FE7982"/>
    <w:rsid w:val="330D52B8"/>
    <w:rsid w:val="331E1C54"/>
    <w:rsid w:val="335A2666"/>
    <w:rsid w:val="335C3871"/>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510B5E"/>
    <w:rsid w:val="3465056A"/>
    <w:rsid w:val="346866A1"/>
    <w:rsid w:val="34700522"/>
    <w:rsid w:val="348167F0"/>
    <w:rsid w:val="348C36E4"/>
    <w:rsid w:val="34921598"/>
    <w:rsid w:val="349A1C0D"/>
    <w:rsid w:val="349F3018"/>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8A0F28"/>
    <w:rsid w:val="36B77EB7"/>
    <w:rsid w:val="36DE7BD3"/>
    <w:rsid w:val="37592FE4"/>
    <w:rsid w:val="375E20CF"/>
    <w:rsid w:val="377336AC"/>
    <w:rsid w:val="377F502A"/>
    <w:rsid w:val="37804449"/>
    <w:rsid w:val="378A028C"/>
    <w:rsid w:val="37BC42C1"/>
    <w:rsid w:val="37CA1388"/>
    <w:rsid w:val="37CC6ED3"/>
    <w:rsid w:val="37D64BA7"/>
    <w:rsid w:val="37F94643"/>
    <w:rsid w:val="37FB24F6"/>
    <w:rsid w:val="3806724C"/>
    <w:rsid w:val="38292EF5"/>
    <w:rsid w:val="38305180"/>
    <w:rsid w:val="383B2625"/>
    <w:rsid w:val="3850158A"/>
    <w:rsid w:val="385C1B7F"/>
    <w:rsid w:val="38610D05"/>
    <w:rsid w:val="388F49F5"/>
    <w:rsid w:val="38A950F3"/>
    <w:rsid w:val="38AB3C78"/>
    <w:rsid w:val="38E31861"/>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B0468D"/>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6047E"/>
    <w:rsid w:val="3B896874"/>
    <w:rsid w:val="3B9D4373"/>
    <w:rsid w:val="3BA92EC6"/>
    <w:rsid w:val="3BB663C6"/>
    <w:rsid w:val="3BB94D10"/>
    <w:rsid w:val="3BDE416C"/>
    <w:rsid w:val="3BE70BEC"/>
    <w:rsid w:val="3BFF5F92"/>
    <w:rsid w:val="3C0435A9"/>
    <w:rsid w:val="3C3158BF"/>
    <w:rsid w:val="3C512C6A"/>
    <w:rsid w:val="3C5E6096"/>
    <w:rsid w:val="3C664F1D"/>
    <w:rsid w:val="3C6B63F3"/>
    <w:rsid w:val="3C6D0AA3"/>
    <w:rsid w:val="3C7978A8"/>
    <w:rsid w:val="3C7D446D"/>
    <w:rsid w:val="3C8805E4"/>
    <w:rsid w:val="3C903856"/>
    <w:rsid w:val="3CA67369"/>
    <w:rsid w:val="3CB05E10"/>
    <w:rsid w:val="3CBF3D07"/>
    <w:rsid w:val="3CE90D4D"/>
    <w:rsid w:val="3CEC5BD9"/>
    <w:rsid w:val="3D0A2A8A"/>
    <w:rsid w:val="3D0D553D"/>
    <w:rsid w:val="3D12272E"/>
    <w:rsid w:val="3D321FA1"/>
    <w:rsid w:val="3D5C306C"/>
    <w:rsid w:val="3D6A3EE4"/>
    <w:rsid w:val="3D6E15B5"/>
    <w:rsid w:val="3D8762BD"/>
    <w:rsid w:val="3D941FD0"/>
    <w:rsid w:val="3D9D309B"/>
    <w:rsid w:val="3DA75BB4"/>
    <w:rsid w:val="3DB1783A"/>
    <w:rsid w:val="3DB73788"/>
    <w:rsid w:val="3DBE7888"/>
    <w:rsid w:val="3DC72FAC"/>
    <w:rsid w:val="3DD4640D"/>
    <w:rsid w:val="3DD55F01"/>
    <w:rsid w:val="3E00648E"/>
    <w:rsid w:val="3E097ED6"/>
    <w:rsid w:val="3E0F619F"/>
    <w:rsid w:val="3E2C07D2"/>
    <w:rsid w:val="3E3C10A9"/>
    <w:rsid w:val="3E4B1EC4"/>
    <w:rsid w:val="3E4C5C7B"/>
    <w:rsid w:val="3E4F06BE"/>
    <w:rsid w:val="3E60232E"/>
    <w:rsid w:val="3E6966CC"/>
    <w:rsid w:val="3E6F6349"/>
    <w:rsid w:val="3E7001DF"/>
    <w:rsid w:val="3E815E9D"/>
    <w:rsid w:val="3E8F04CD"/>
    <w:rsid w:val="3E931018"/>
    <w:rsid w:val="3EA37326"/>
    <w:rsid w:val="3EA4334C"/>
    <w:rsid w:val="3EB133E2"/>
    <w:rsid w:val="3EC21710"/>
    <w:rsid w:val="3ED07B39"/>
    <w:rsid w:val="3ED75A5B"/>
    <w:rsid w:val="3EEE4BA8"/>
    <w:rsid w:val="3F227ECC"/>
    <w:rsid w:val="3F2A1510"/>
    <w:rsid w:val="3F323523"/>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8F72A1"/>
    <w:rsid w:val="40985505"/>
    <w:rsid w:val="40A1164F"/>
    <w:rsid w:val="40AD7C5B"/>
    <w:rsid w:val="40B769BD"/>
    <w:rsid w:val="40CD5F0B"/>
    <w:rsid w:val="40DD4729"/>
    <w:rsid w:val="40EB7E0B"/>
    <w:rsid w:val="40F1349D"/>
    <w:rsid w:val="411E2BE4"/>
    <w:rsid w:val="4136428A"/>
    <w:rsid w:val="413A144A"/>
    <w:rsid w:val="41694287"/>
    <w:rsid w:val="416948A9"/>
    <w:rsid w:val="416B194D"/>
    <w:rsid w:val="41892EE4"/>
    <w:rsid w:val="41A02373"/>
    <w:rsid w:val="41BE3E52"/>
    <w:rsid w:val="41C36A02"/>
    <w:rsid w:val="41D8445C"/>
    <w:rsid w:val="41F85D27"/>
    <w:rsid w:val="41F93C0D"/>
    <w:rsid w:val="420E2A1A"/>
    <w:rsid w:val="4237497C"/>
    <w:rsid w:val="424D68DB"/>
    <w:rsid w:val="42565FD0"/>
    <w:rsid w:val="42596CCD"/>
    <w:rsid w:val="425E5FDE"/>
    <w:rsid w:val="427F350F"/>
    <w:rsid w:val="42914340"/>
    <w:rsid w:val="42AA6438"/>
    <w:rsid w:val="42AF1A12"/>
    <w:rsid w:val="42B008AC"/>
    <w:rsid w:val="43127FA0"/>
    <w:rsid w:val="431D66E9"/>
    <w:rsid w:val="43587C29"/>
    <w:rsid w:val="435C6176"/>
    <w:rsid w:val="43616901"/>
    <w:rsid w:val="436A6992"/>
    <w:rsid w:val="436D4ECF"/>
    <w:rsid w:val="43791B5A"/>
    <w:rsid w:val="437A73AE"/>
    <w:rsid w:val="43806B74"/>
    <w:rsid w:val="43922D90"/>
    <w:rsid w:val="439E00F9"/>
    <w:rsid w:val="43A0784E"/>
    <w:rsid w:val="43B24CCF"/>
    <w:rsid w:val="43B43752"/>
    <w:rsid w:val="43D14618"/>
    <w:rsid w:val="43E63027"/>
    <w:rsid w:val="43EA5737"/>
    <w:rsid w:val="43F669C3"/>
    <w:rsid w:val="44205D19"/>
    <w:rsid w:val="442C10DA"/>
    <w:rsid w:val="44314B0E"/>
    <w:rsid w:val="443866C9"/>
    <w:rsid w:val="446B48FC"/>
    <w:rsid w:val="44785AEE"/>
    <w:rsid w:val="44843CC9"/>
    <w:rsid w:val="44880967"/>
    <w:rsid w:val="44A01A4B"/>
    <w:rsid w:val="44B673AA"/>
    <w:rsid w:val="44D26E80"/>
    <w:rsid w:val="44D63B23"/>
    <w:rsid w:val="44DB773A"/>
    <w:rsid w:val="44E36D88"/>
    <w:rsid w:val="44F14784"/>
    <w:rsid w:val="450039C1"/>
    <w:rsid w:val="450F55D5"/>
    <w:rsid w:val="45146EC3"/>
    <w:rsid w:val="451A32B1"/>
    <w:rsid w:val="451E341B"/>
    <w:rsid w:val="452813D2"/>
    <w:rsid w:val="452B5B91"/>
    <w:rsid w:val="452D6C34"/>
    <w:rsid w:val="454D00BA"/>
    <w:rsid w:val="456951DA"/>
    <w:rsid w:val="45973AD6"/>
    <w:rsid w:val="45A52B1C"/>
    <w:rsid w:val="45AC4CF4"/>
    <w:rsid w:val="45AD524F"/>
    <w:rsid w:val="45AE36B8"/>
    <w:rsid w:val="45C03181"/>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20B27"/>
    <w:rsid w:val="46C35907"/>
    <w:rsid w:val="47032B85"/>
    <w:rsid w:val="47111705"/>
    <w:rsid w:val="4719625B"/>
    <w:rsid w:val="47251050"/>
    <w:rsid w:val="472C0755"/>
    <w:rsid w:val="4745188E"/>
    <w:rsid w:val="476D2EF2"/>
    <w:rsid w:val="476E7A2B"/>
    <w:rsid w:val="477A07F4"/>
    <w:rsid w:val="478E0D44"/>
    <w:rsid w:val="47B54AA8"/>
    <w:rsid w:val="47BD13B2"/>
    <w:rsid w:val="47BF5406"/>
    <w:rsid w:val="47C073E7"/>
    <w:rsid w:val="47C621A4"/>
    <w:rsid w:val="47DE197A"/>
    <w:rsid w:val="47F04F1C"/>
    <w:rsid w:val="47F261EE"/>
    <w:rsid w:val="4801327C"/>
    <w:rsid w:val="486A20DE"/>
    <w:rsid w:val="48713429"/>
    <w:rsid w:val="487B3B0A"/>
    <w:rsid w:val="4891605D"/>
    <w:rsid w:val="48A24E37"/>
    <w:rsid w:val="48D173C6"/>
    <w:rsid w:val="48E02F78"/>
    <w:rsid w:val="48E76F84"/>
    <w:rsid w:val="48F00546"/>
    <w:rsid w:val="4906501C"/>
    <w:rsid w:val="49132398"/>
    <w:rsid w:val="491B5B23"/>
    <w:rsid w:val="493526FB"/>
    <w:rsid w:val="493B491E"/>
    <w:rsid w:val="494305AE"/>
    <w:rsid w:val="49550F29"/>
    <w:rsid w:val="498425F6"/>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6379E"/>
    <w:rsid w:val="4C097E52"/>
    <w:rsid w:val="4C251632"/>
    <w:rsid w:val="4C266DAF"/>
    <w:rsid w:val="4C3C7997"/>
    <w:rsid w:val="4C423D11"/>
    <w:rsid w:val="4C4277B1"/>
    <w:rsid w:val="4C4A7111"/>
    <w:rsid w:val="4C9A635E"/>
    <w:rsid w:val="4CA860AF"/>
    <w:rsid w:val="4CB66E36"/>
    <w:rsid w:val="4CD04687"/>
    <w:rsid w:val="4CF773A5"/>
    <w:rsid w:val="4D084450"/>
    <w:rsid w:val="4D09681B"/>
    <w:rsid w:val="4D1A6222"/>
    <w:rsid w:val="4D2B14AB"/>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4185C"/>
    <w:rsid w:val="50424989"/>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B60ACF"/>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BE4653"/>
    <w:rsid w:val="52C97C85"/>
    <w:rsid w:val="52D32108"/>
    <w:rsid w:val="52D6356D"/>
    <w:rsid w:val="52E22CA6"/>
    <w:rsid w:val="52F22F67"/>
    <w:rsid w:val="52F77D67"/>
    <w:rsid w:val="52F836E3"/>
    <w:rsid w:val="53054AEC"/>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2E5A45"/>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CC73D2"/>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207C7F"/>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72FDA"/>
    <w:rsid w:val="599D01FE"/>
    <w:rsid w:val="59AF4353"/>
    <w:rsid w:val="59CB134C"/>
    <w:rsid w:val="59D13042"/>
    <w:rsid w:val="59EA652F"/>
    <w:rsid w:val="5A3F6176"/>
    <w:rsid w:val="5A5419CE"/>
    <w:rsid w:val="5A587AE0"/>
    <w:rsid w:val="5A5A38F1"/>
    <w:rsid w:val="5A617BFA"/>
    <w:rsid w:val="5A704F3D"/>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7E351C"/>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8E1F09"/>
    <w:rsid w:val="5CAA3CDC"/>
    <w:rsid w:val="5CC14996"/>
    <w:rsid w:val="5CDB13F1"/>
    <w:rsid w:val="5CE42BFC"/>
    <w:rsid w:val="5D08718A"/>
    <w:rsid w:val="5D33075C"/>
    <w:rsid w:val="5D38401E"/>
    <w:rsid w:val="5D42131E"/>
    <w:rsid w:val="5D4B0C7E"/>
    <w:rsid w:val="5D65772A"/>
    <w:rsid w:val="5D787E7B"/>
    <w:rsid w:val="5DA30012"/>
    <w:rsid w:val="5DB3257F"/>
    <w:rsid w:val="5DC0413C"/>
    <w:rsid w:val="5DC93120"/>
    <w:rsid w:val="5DD61D3A"/>
    <w:rsid w:val="5DDA6F3B"/>
    <w:rsid w:val="5DDB5F91"/>
    <w:rsid w:val="5E282729"/>
    <w:rsid w:val="5E2C3252"/>
    <w:rsid w:val="5E323CBE"/>
    <w:rsid w:val="5E39000D"/>
    <w:rsid w:val="5E5007AD"/>
    <w:rsid w:val="5E5126D4"/>
    <w:rsid w:val="5E575A00"/>
    <w:rsid w:val="5E5B33A6"/>
    <w:rsid w:val="5ECF1B13"/>
    <w:rsid w:val="5EEC29C3"/>
    <w:rsid w:val="5EF527AD"/>
    <w:rsid w:val="5F0241A8"/>
    <w:rsid w:val="5F031737"/>
    <w:rsid w:val="5F1A1471"/>
    <w:rsid w:val="5F1B570F"/>
    <w:rsid w:val="5F4013BA"/>
    <w:rsid w:val="5F515252"/>
    <w:rsid w:val="5F541912"/>
    <w:rsid w:val="5F882D2B"/>
    <w:rsid w:val="5FCD2C3C"/>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9D56DD"/>
    <w:rsid w:val="60CF4513"/>
    <w:rsid w:val="60D87E5D"/>
    <w:rsid w:val="60E14FED"/>
    <w:rsid w:val="60F668B8"/>
    <w:rsid w:val="60FC46B7"/>
    <w:rsid w:val="61002168"/>
    <w:rsid w:val="610C1149"/>
    <w:rsid w:val="61172DD5"/>
    <w:rsid w:val="61356B85"/>
    <w:rsid w:val="6138206E"/>
    <w:rsid w:val="61440CFC"/>
    <w:rsid w:val="614D3C7D"/>
    <w:rsid w:val="616270EF"/>
    <w:rsid w:val="61706EDF"/>
    <w:rsid w:val="619B1498"/>
    <w:rsid w:val="619B3BCB"/>
    <w:rsid w:val="61C5760F"/>
    <w:rsid w:val="61CB09F2"/>
    <w:rsid w:val="61F34165"/>
    <w:rsid w:val="62053AEE"/>
    <w:rsid w:val="623328E6"/>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8C38DF"/>
    <w:rsid w:val="648D7C4D"/>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50C6B"/>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26BCA"/>
    <w:rsid w:val="684D1BE5"/>
    <w:rsid w:val="68651677"/>
    <w:rsid w:val="686F261C"/>
    <w:rsid w:val="687E3602"/>
    <w:rsid w:val="688F77C3"/>
    <w:rsid w:val="68A17036"/>
    <w:rsid w:val="68A9751A"/>
    <w:rsid w:val="68AC366C"/>
    <w:rsid w:val="68B329E9"/>
    <w:rsid w:val="68F100BA"/>
    <w:rsid w:val="69030906"/>
    <w:rsid w:val="692C4F44"/>
    <w:rsid w:val="69326C25"/>
    <w:rsid w:val="69493580"/>
    <w:rsid w:val="697D4944"/>
    <w:rsid w:val="697E2DEE"/>
    <w:rsid w:val="699B3DF9"/>
    <w:rsid w:val="69E1523E"/>
    <w:rsid w:val="6A377133"/>
    <w:rsid w:val="6A3802AF"/>
    <w:rsid w:val="6A382142"/>
    <w:rsid w:val="6A3E6B57"/>
    <w:rsid w:val="6A4E7EC9"/>
    <w:rsid w:val="6A650E8F"/>
    <w:rsid w:val="6A730F30"/>
    <w:rsid w:val="6A7F0672"/>
    <w:rsid w:val="6A8243F3"/>
    <w:rsid w:val="6AA25847"/>
    <w:rsid w:val="6ADE4B51"/>
    <w:rsid w:val="6AEB550E"/>
    <w:rsid w:val="6AF47AD0"/>
    <w:rsid w:val="6B0B7792"/>
    <w:rsid w:val="6B15219D"/>
    <w:rsid w:val="6B18387B"/>
    <w:rsid w:val="6B213C7A"/>
    <w:rsid w:val="6B2726B5"/>
    <w:rsid w:val="6B3D4519"/>
    <w:rsid w:val="6B4943C4"/>
    <w:rsid w:val="6B5760AD"/>
    <w:rsid w:val="6B6356A7"/>
    <w:rsid w:val="6B6F75D9"/>
    <w:rsid w:val="6B7753BB"/>
    <w:rsid w:val="6B7A6C48"/>
    <w:rsid w:val="6B8223B8"/>
    <w:rsid w:val="6B8B28BB"/>
    <w:rsid w:val="6BA303EE"/>
    <w:rsid w:val="6BCA3451"/>
    <w:rsid w:val="6BD57A1A"/>
    <w:rsid w:val="6BE52340"/>
    <w:rsid w:val="6BEA317F"/>
    <w:rsid w:val="6C077B7C"/>
    <w:rsid w:val="6C89469E"/>
    <w:rsid w:val="6C93673A"/>
    <w:rsid w:val="6C9559EA"/>
    <w:rsid w:val="6C991B9A"/>
    <w:rsid w:val="6CAF79E9"/>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266905"/>
    <w:rsid w:val="6E3B5323"/>
    <w:rsid w:val="6E4147DF"/>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A32A83"/>
    <w:rsid w:val="6FB93CAC"/>
    <w:rsid w:val="6FB95193"/>
    <w:rsid w:val="6FE04DE1"/>
    <w:rsid w:val="6FE60D34"/>
    <w:rsid w:val="6FEE7F40"/>
    <w:rsid w:val="70015EAC"/>
    <w:rsid w:val="70093C44"/>
    <w:rsid w:val="7010287E"/>
    <w:rsid w:val="7013025E"/>
    <w:rsid w:val="70150176"/>
    <w:rsid w:val="706A4129"/>
    <w:rsid w:val="7071176F"/>
    <w:rsid w:val="70747A02"/>
    <w:rsid w:val="7076111A"/>
    <w:rsid w:val="70B73E00"/>
    <w:rsid w:val="70F2796B"/>
    <w:rsid w:val="710F1765"/>
    <w:rsid w:val="71102404"/>
    <w:rsid w:val="711A1C30"/>
    <w:rsid w:val="711D088F"/>
    <w:rsid w:val="711E6ABB"/>
    <w:rsid w:val="71230870"/>
    <w:rsid w:val="712E079E"/>
    <w:rsid w:val="71400456"/>
    <w:rsid w:val="714C2EBE"/>
    <w:rsid w:val="71611C06"/>
    <w:rsid w:val="71636191"/>
    <w:rsid w:val="71686453"/>
    <w:rsid w:val="716F74C0"/>
    <w:rsid w:val="71840B45"/>
    <w:rsid w:val="71A976A3"/>
    <w:rsid w:val="71B83D73"/>
    <w:rsid w:val="71C94377"/>
    <w:rsid w:val="71D6274F"/>
    <w:rsid w:val="72033A39"/>
    <w:rsid w:val="726E4C9E"/>
    <w:rsid w:val="7289516B"/>
    <w:rsid w:val="729310B6"/>
    <w:rsid w:val="72CD0489"/>
    <w:rsid w:val="72DB349B"/>
    <w:rsid w:val="72E10CF1"/>
    <w:rsid w:val="72E16E78"/>
    <w:rsid w:val="72EA15F7"/>
    <w:rsid w:val="73041B05"/>
    <w:rsid w:val="73062CBE"/>
    <w:rsid w:val="73297EB2"/>
    <w:rsid w:val="73497FD2"/>
    <w:rsid w:val="734C505F"/>
    <w:rsid w:val="735765E8"/>
    <w:rsid w:val="73611BAF"/>
    <w:rsid w:val="7368643D"/>
    <w:rsid w:val="7377094B"/>
    <w:rsid w:val="73794A20"/>
    <w:rsid w:val="738A6877"/>
    <w:rsid w:val="739C4779"/>
    <w:rsid w:val="73A2442B"/>
    <w:rsid w:val="73AA6208"/>
    <w:rsid w:val="73C832AF"/>
    <w:rsid w:val="73E52982"/>
    <w:rsid w:val="73FA0625"/>
    <w:rsid w:val="74024A09"/>
    <w:rsid w:val="7422148A"/>
    <w:rsid w:val="74472CC7"/>
    <w:rsid w:val="747E0535"/>
    <w:rsid w:val="748330DD"/>
    <w:rsid w:val="7485747A"/>
    <w:rsid w:val="748D3B91"/>
    <w:rsid w:val="74963991"/>
    <w:rsid w:val="74B71854"/>
    <w:rsid w:val="74FD176E"/>
    <w:rsid w:val="75132281"/>
    <w:rsid w:val="7544582D"/>
    <w:rsid w:val="754C1C51"/>
    <w:rsid w:val="755F4608"/>
    <w:rsid w:val="7564660F"/>
    <w:rsid w:val="7571106C"/>
    <w:rsid w:val="757918F4"/>
    <w:rsid w:val="75886342"/>
    <w:rsid w:val="758A779D"/>
    <w:rsid w:val="758E7458"/>
    <w:rsid w:val="75A55C4D"/>
    <w:rsid w:val="75B9274E"/>
    <w:rsid w:val="75F83FB4"/>
    <w:rsid w:val="75F9318E"/>
    <w:rsid w:val="75FC2E47"/>
    <w:rsid w:val="760E47B2"/>
    <w:rsid w:val="76631090"/>
    <w:rsid w:val="76703988"/>
    <w:rsid w:val="7672217C"/>
    <w:rsid w:val="76A12DC3"/>
    <w:rsid w:val="76BE3B48"/>
    <w:rsid w:val="76D15B17"/>
    <w:rsid w:val="77186B1E"/>
    <w:rsid w:val="77645C7D"/>
    <w:rsid w:val="776955B1"/>
    <w:rsid w:val="777439C1"/>
    <w:rsid w:val="7782001E"/>
    <w:rsid w:val="778B1158"/>
    <w:rsid w:val="77961505"/>
    <w:rsid w:val="77B15DF4"/>
    <w:rsid w:val="77B856B5"/>
    <w:rsid w:val="77CB35CD"/>
    <w:rsid w:val="78044A7A"/>
    <w:rsid w:val="78076895"/>
    <w:rsid w:val="78091695"/>
    <w:rsid w:val="78151AE7"/>
    <w:rsid w:val="781D0ABF"/>
    <w:rsid w:val="782B5948"/>
    <w:rsid w:val="782E43EF"/>
    <w:rsid w:val="78602ABF"/>
    <w:rsid w:val="78665FE4"/>
    <w:rsid w:val="786E0FFE"/>
    <w:rsid w:val="78A93133"/>
    <w:rsid w:val="78C37715"/>
    <w:rsid w:val="78D02FB6"/>
    <w:rsid w:val="78E43768"/>
    <w:rsid w:val="78E47082"/>
    <w:rsid w:val="78FD3867"/>
    <w:rsid w:val="79214FA6"/>
    <w:rsid w:val="79367FB8"/>
    <w:rsid w:val="79392A29"/>
    <w:rsid w:val="793E18A7"/>
    <w:rsid w:val="79583AEC"/>
    <w:rsid w:val="795C7162"/>
    <w:rsid w:val="797812D7"/>
    <w:rsid w:val="799D7539"/>
    <w:rsid w:val="799F72C4"/>
    <w:rsid w:val="79A20557"/>
    <w:rsid w:val="79AB7A8E"/>
    <w:rsid w:val="79AC0207"/>
    <w:rsid w:val="79CB5BC6"/>
    <w:rsid w:val="79D0709A"/>
    <w:rsid w:val="79E554A8"/>
    <w:rsid w:val="79FD492D"/>
    <w:rsid w:val="7A087CF7"/>
    <w:rsid w:val="7A13564A"/>
    <w:rsid w:val="7A1B3C8A"/>
    <w:rsid w:val="7A2E5C6D"/>
    <w:rsid w:val="7A303322"/>
    <w:rsid w:val="7A7F6A39"/>
    <w:rsid w:val="7A813BF5"/>
    <w:rsid w:val="7A9A2995"/>
    <w:rsid w:val="7A9E37B9"/>
    <w:rsid w:val="7AA85A57"/>
    <w:rsid w:val="7AA97571"/>
    <w:rsid w:val="7ACF2907"/>
    <w:rsid w:val="7AD1328F"/>
    <w:rsid w:val="7AF26D81"/>
    <w:rsid w:val="7AF464E6"/>
    <w:rsid w:val="7AF6549D"/>
    <w:rsid w:val="7B014170"/>
    <w:rsid w:val="7B135976"/>
    <w:rsid w:val="7B1A61F8"/>
    <w:rsid w:val="7B4629B1"/>
    <w:rsid w:val="7B4F3366"/>
    <w:rsid w:val="7B5C346C"/>
    <w:rsid w:val="7B5E5C27"/>
    <w:rsid w:val="7B652196"/>
    <w:rsid w:val="7B684EBF"/>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A7E02"/>
    <w:rsid w:val="7C4706AF"/>
    <w:rsid w:val="7C526D30"/>
    <w:rsid w:val="7C574088"/>
    <w:rsid w:val="7C5D6386"/>
    <w:rsid w:val="7C921F5C"/>
    <w:rsid w:val="7C932390"/>
    <w:rsid w:val="7C9D2374"/>
    <w:rsid w:val="7CAC42FA"/>
    <w:rsid w:val="7CBB3819"/>
    <w:rsid w:val="7CD97C96"/>
    <w:rsid w:val="7CEA2FFC"/>
    <w:rsid w:val="7CF36D0A"/>
    <w:rsid w:val="7CFD68A1"/>
    <w:rsid w:val="7D004B90"/>
    <w:rsid w:val="7D09176A"/>
    <w:rsid w:val="7D134875"/>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C4446B"/>
    <w:rsid w:val="7ED16523"/>
    <w:rsid w:val="7EE83A26"/>
    <w:rsid w:val="7EF96B1E"/>
    <w:rsid w:val="7EFC739E"/>
    <w:rsid w:val="7F1A7969"/>
    <w:rsid w:val="7F353C06"/>
    <w:rsid w:val="7F410352"/>
    <w:rsid w:val="7F440F7A"/>
    <w:rsid w:val="7F4F0F75"/>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1"/>
    <w:next w:val="1"/>
    <w:link w:val="34"/>
    <w:qFormat/>
    <w:uiPriority w:val="0"/>
    <w:pPr>
      <w:spacing w:before="180"/>
      <w:ind w:right="100" w:rightChars="100"/>
      <w:outlineLvl w:val="1"/>
    </w:pPr>
    <w:rPr>
      <w:sz w:val="28"/>
    </w:rPr>
  </w:style>
  <w:style w:type="paragraph" w:styleId="4">
    <w:name w:val="heading 3"/>
    <w:basedOn w:val="3"/>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Balloon Text"/>
    <w:basedOn w:val="1"/>
    <w:link w:val="32"/>
    <w:semiHidden/>
    <w:unhideWhenUsed/>
    <w:qFormat/>
    <w:uiPriority w:val="99"/>
    <w:rPr>
      <w:sz w:val="18"/>
      <w:szCs w:val="18"/>
    </w:rPr>
  </w:style>
  <w:style w:type="paragraph" w:styleId="17">
    <w:name w:val="footer"/>
    <w:basedOn w:val="1"/>
    <w:link w:val="37"/>
    <w:semiHidden/>
    <w:unhideWhenUsed/>
    <w:qFormat/>
    <w:uiPriority w:val="99"/>
    <w:pPr>
      <w:tabs>
        <w:tab w:val="center" w:pos="4153"/>
        <w:tab w:val="right" w:pos="8306"/>
      </w:tabs>
      <w:snapToGrid w:val="0"/>
      <w:jc w:val="left"/>
    </w:pPr>
    <w:rPr>
      <w:sz w:val="18"/>
      <w:szCs w:val="18"/>
    </w:rPr>
  </w:style>
  <w:style w:type="paragraph" w:styleId="18">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tabs>
        <w:tab w:val="decimal" w:pos="0"/>
        <w:tab w:val="right" w:pos="9660"/>
      </w:tabs>
      <w:ind w:right="420" w:rightChars="200"/>
      <w:jc w:val="left"/>
    </w:pPr>
    <w:rPr>
      <w:b/>
      <w:bCs/>
      <w:i/>
      <w:iCs/>
      <w:sz w:val="20"/>
    </w:rPr>
  </w:style>
  <w:style w:type="paragraph" w:styleId="20">
    <w:name w:val="List 4"/>
    <w:basedOn w:val="9"/>
    <w:qFormat/>
    <w:uiPriority w:val="0"/>
    <w:pPr>
      <w:ind w:left="1418"/>
    </w:pPr>
  </w:style>
  <w:style w:type="paragraph" w:styleId="21">
    <w:name w:val="Normal (Web)"/>
    <w:basedOn w:val="1"/>
    <w:unhideWhenUsed/>
    <w:qFormat/>
    <w:uiPriority w:val="99"/>
    <w:pPr>
      <w:spacing w:beforeAutospacing="1" w:afterAutospacing="1"/>
      <w:jc w:val="left"/>
    </w:pPr>
    <w:rPr>
      <w:kern w:val="0"/>
      <w:sz w:val="24"/>
    </w:rPr>
  </w:style>
  <w:style w:type="paragraph" w:styleId="22">
    <w:name w:val="annotation subject"/>
    <w:basedOn w:val="14"/>
    <w:next w:val="14"/>
    <w:link w:val="44"/>
    <w:semiHidden/>
    <w:unhideWhenUsed/>
    <w:qFormat/>
    <w:uiPriority w:val="99"/>
    <w:pPr>
      <w:jc w:val="left"/>
    </w:pPr>
    <w:rPr>
      <w:b/>
      <w:bCs/>
    </w:rPr>
  </w:style>
  <w:style w:type="table" w:styleId="24">
    <w:name w:val="Table Grid"/>
    <w:basedOn w:val="2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page number"/>
    <w:basedOn w:val="25"/>
    <w:semiHidden/>
    <w:qFormat/>
    <w:uiPriority w:val="0"/>
  </w:style>
  <w:style w:type="character" w:styleId="28">
    <w:name w:val="FollowedHyperlink"/>
    <w:basedOn w:val="25"/>
    <w:semiHidden/>
    <w:unhideWhenUsed/>
    <w:qFormat/>
    <w:uiPriority w:val="99"/>
    <w:rPr>
      <w:color w:val="800080" w:themeColor="followedHyperlink"/>
      <w:u w:val="single"/>
      <w14:textFill>
        <w14:solidFill>
          <w14:schemeClr w14:val="folHlink"/>
        </w14:solidFill>
      </w14:textFill>
    </w:rPr>
  </w:style>
  <w:style w:type="character" w:styleId="29">
    <w:name w:val="Emphasis"/>
    <w:basedOn w:val="25"/>
    <w:qFormat/>
    <w:uiPriority w:val="20"/>
    <w:rPr>
      <w:i/>
    </w:rPr>
  </w:style>
  <w:style w:type="character" w:styleId="30">
    <w:name w:val="Hyperlink"/>
    <w:basedOn w:val="25"/>
    <w:qFormat/>
    <w:uiPriority w:val="99"/>
    <w:rPr>
      <w:color w:val="0000FF"/>
      <w:u w:val="single"/>
    </w:rPr>
  </w:style>
  <w:style w:type="character" w:styleId="31">
    <w:name w:val="annotation reference"/>
    <w:qFormat/>
    <w:uiPriority w:val="0"/>
    <w:rPr>
      <w:sz w:val="16"/>
    </w:rPr>
  </w:style>
  <w:style w:type="character" w:customStyle="1" w:styleId="32">
    <w:name w:val="Balloon Text Char"/>
    <w:basedOn w:val="25"/>
    <w:link w:val="16"/>
    <w:semiHidden/>
    <w:qFormat/>
    <w:uiPriority w:val="99"/>
    <w:rPr>
      <w:rFonts w:ascii="Times New Roman" w:hAnsi="Times New Roman" w:eastAsia="宋体" w:cs="Times New Roman"/>
      <w:sz w:val="18"/>
      <w:szCs w:val="18"/>
    </w:rPr>
  </w:style>
  <w:style w:type="character" w:customStyle="1" w:styleId="33">
    <w:name w:val="Heading 1 Char"/>
    <w:basedOn w:val="25"/>
    <w:link w:val="2"/>
    <w:qFormat/>
    <w:uiPriority w:val="0"/>
    <w:rPr>
      <w:rFonts w:ascii="Arial" w:hAnsi="Arial" w:eastAsia="MS Mincho" w:cs="Times New Roman"/>
      <w:sz w:val="32"/>
      <w:szCs w:val="20"/>
    </w:rPr>
  </w:style>
  <w:style w:type="character" w:customStyle="1" w:styleId="34">
    <w:name w:val="Heading 2 Char"/>
    <w:basedOn w:val="25"/>
    <w:link w:val="3"/>
    <w:qFormat/>
    <w:uiPriority w:val="0"/>
    <w:rPr>
      <w:rFonts w:ascii="Arial" w:hAnsi="Arial" w:eastAsia="MS Mincho" w:cs="Times New Roman"/>
      <w:sz w:val="28"/>
      <w:szCs w:val="20"/>
    </w:rPr>
  </w:style>
  <w:style w:type="character" w:customStyle="1" w:styleId="35">
    <w:name w:val="Heading 3 Char"/>
    <w:basedOn w:val="25"/>
    <w:link w:val="4"/>
    <w:qFormat/>
    <w:uiPriority w:val="0"/>
    <w:rPr>
      <w:rFonts w:ascii="Arial" w:hAnsi="Arial" w:eastAsia="MS Mincho" w:cs="Times New Roman"/>
      <w:sz w:val="24"/>
      <w:szCs w:val="20"/>
    </w:rPr>
  </w:style>
  <w:style w:type="character" w:customStyle="1" w:styleId="36">
    <w:name w:val="Comment Text Char"/>
    <w:basedOn w:val="25"/>
    <w:link w:val="14"/>
    <w:qFormat/>
    <w:uiPriority w:val="0"/>
    <w:rPr>
      <w:rFonts w:ascii="Times New Roman" w:hAnsi="Times New Roman" w:eastAsia="宋体" w:cs="Times New Roman"/>
      <w:szCs w:val="20"/>
    </w:rPr>
  </w:style>
  <w:style w:type="character" w:customStyle="1" w:styleId="37">
    <w:name w:val="Footer Char"/>
    <w:basedOn w:val="25"/>
    <w:link w:val="17"/>
    <w:semiHidden/>
    <w:qFormat/>
    <w:uiPriority w:val="99"/>
    <w:rPr>
      <w:rFonts w:ascii="Times New Roman" w:hAnsi="Times New Roman" w:eastAsia="宋体" w:cs="Times New Roman"/>
      <w:sz w:val="18"/>
      <w:szCs w:val="18"/>
    </w:rPr>
  </w:style>
  <w:style w:type="character" w:customStyle="1" w:styleId="38">
    <w:name w:val="Header Char"/>
    <w:basedOn w:val="25"/>
    <w:link w:val="18"/>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5"/>
    <w:qFormat/>
    <w:uiPriority w:val="0"/>
    <w:rPr>
      <w:rFonts w:hint="default" w:ascii="Times New Roman" w:hAnsi="Times New Roman" w:cs="Times New Roman"/>
      <w:color w:val="000000"/>
      <w:sz w:val="20"/>
      <w:szCs w:val="20"/>
      <w:u w:val="none"/>
    </w:rPr>
  </w:style>
  <w:style w:type="character" w:customStyle="1" w:styleId="42">
    <w:name w:val="font11"/>
    <w:basedOn w:val="25"/>
    <w:qFormat/>
    <w:uiPriority w:val="0"/>
    <w:rPr>
      <w:rFonts w:hint="default" w:ascii="Symbol" w:hAnsi="Symbol" w:cs="Symbol"/>
      <w:b/>
      <w:color w:val="000000"/>
      <w:sz w:val="20"/>
      <w:szCs w:val="20"/>
      <w:u w:val="none"/>
    </w:rPr>
  </w:style>
  <w:style w:type="character" w:customStyle="1" w:styleId="43">
    <w:name w:val="font01"/>
    <w:basedOn w:val="25"/>
    <w:qFormat/>
    <w:uiPriority w:val="0"/>
    <w:rPr>
      <w:rFonts w:hint="default" w:ascii="Symbol" w:hAnsi="Symbol" w:cs="Symbol"/>
      <w:color w:val="000000"/>
      <w:sz w:val="20"/>
      <w:szCs w:val="20"/>
      <w:u w:val="none"/>
    </w:rPr>
  </w:style>
  <w:style w:type="character" w:customStyle="1" w:styleId="44">
    <w:name w:val="Comment Subject Char"/>
    <w:basedOn w:val="36"/>
    <w:link w:val="22"/>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List Paragraph Char"/>
    <w:link w:val="40"/>
    <w:qFormat/>
    <w:uiPriority w:val="34"/>
    <w:rPr>
      <w:rFonts w:ascii="Times New Roman" w:hAnsi="Times New Roman" w:eastAsia="Times New Roman" w:cs="Times New Roman"/>
      <w:kern w:val="2"/>
      <w:sz w:val="24"/>
      <w:szCs w:val="24"/>
    </w:rPr>
  </w:style>
  <w:style w:type="character" w:styleId="47">
    <w:name w:val="Placeholder Text"/>
    <w:basedOn w:val="25"/>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Document Map Char"/>
    <w:basedOn w:val="25"/>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5"/>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5"/>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0"/>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样式 Arial 11 磅 加粗 左侧:  0 厘米 悬挂缩进: 19.87 字符 段前: 0.5 行 段后: 0...."/>
    <w:basedOn w:val="1"/>
    <w:qFormat/>
    <w:uiPriority w:val="0"/>
    <w:pPr>
      <w:spacing w:after="0"/>
      <w:ind w:left="1985" w:hanging="1985"/>
    </w:pPr>
    <w:rPr>
      <w:rFonts w:ascii="Arial" w:hAnsi="Arial" w:cs="宋体"/>
      <w:b/>
      <w:bCs/>
      <w:sz w:val="22"/>
    </w:rPr>
  </w:style>
  <w:style w:type="paragraph" w:customStyle="1" w:styleId="73">
    <w:name w:val="Bold Comments"/>
    <w:basedOn w:val="74"/>
    <w:qFormat/>
    <w:uiPriority w:val="0"/>
    <w:rPr>
      <w:lang w:val="zh-CN"/>
    </w:rPr>
  </w:style>
  <w:style w:type="paragraph" w:customStyle="1" w:styleId="74">
    <w:name w:val="SubHeading"/>
    <w:basedOn w:val="1"/>
    <w:next w:val="75"/>
    <w:qFormat/>
    <w:uiPriority w:val="0"/>
    <w:pPr>
      <w:spacing w:before="240" w:after="60"/>
      <w:outlineLvl w:val="8"/>
    </w:pPr>
    <w:rPr>
      <w:b/>
    </w:rPr>
  </w:style>
  <w:style w:type="paragraph" w:customStyle="1" w:styleId="75">
    <w:name w:val="Doc-title"/>
    <w:basedOn w:val="1"/>
    <w:next w:val="76"/>
    <w:qFormat/>
    <w:uiPriority w:val="0"/>
    <w:pPr>
      <w:spacing w:before="60"/>
      <w:ind w:left="1259" w:hanging="1259"/>
    </w:pPr>
  </w:style>
  <w:style w:type="paragraph" w:customStyle="1" w:styleId="76">
    <w:name w:val="Doc-text2"/>
    <w:basedOn w:val="1"/>
    <w:link w:val="84"/>
    <w:qFormat/>
    <w:uiPriority w:val="0"/>
    <w:pPr>
      <w:tabs>
        <w:tab w:val="left" w:pos="1622"/>
      </w:tabs>
      <w:ind w:left="1622" w:hanging="363"/>
    </w:pPr>
  </w:style>
  <w:style w:type="paragraph" w:customStyle="1" w:styleId="77">
    <w:name w:val="Agreement"/>
    <w:basedOn w:val="1"/>
    <w:next w:val="76"/>
    <w:qFormat/>
    <w:uiPriority w:val="99"/>
    <w:pPr>
      <w:numPr>
        <w:ilvl w:val="0"/>
        <w:numId w:val="5"/>
      </w:numPr>
      <w:tabs>
        <w:tab w:val="left" w:pos="1619"/>
      </w:tabs>
      <w:spacing w:before="60"/>
    </w:pPr>
    <w:rPr>
      <w:b/>
    </w:rPr>
  </w:style>
  <w:style w:type="paragraph" w:customStyle="1" w:styleId="78">
    <w:name w:val="Revision1"/>
    <w:hidden/>
    <w:unhideWhenUsed/>
    <w:qFormat/>
    <w:uiPriority w:val="99"/>
    <w:rPr>
      <w:rFonts w:ascii="Times New Roman" w:hAnsi="Times New Roman" w:eastAsia="宋体" w:cs="Times New Roman"/>
      <w:kern w:val="2"/>
      <w:sz w:val="21"/>
      <w:lang w:val="en-US" w:eastAsia="zh-CN" w:bidi="ar-SA"/>
    </w:rPr>
  </w:style>
  <w:style w:type="character" w:customStyle="1" w:styleId="79">
    <w:name w:val="Unresolved Mention1"/>
    <w:basedOn w:val="25"/>
    <w:semiHidden/>
    <w:unhideWhenUsed/>
    <w:qFormat/>
    <w:uiPriority w:val="99"/>
    <w:rPr>
      <w:color w:val="605E5C"/>
      <w:shd w:val="clear" w:color="auto" w:fill="E1DFDD"/>
    </w:rPr>
  </w:style>
  <w:style w:type="paragraph" w:customStyle="1" w:styleId="80">
    <w:name w:val="Normal1"/>
    <w:qFormat/>
    <w:uiPriority w:val="0"/>
    <w:pPr>
      <w:jc w:val="both"/>
    </w:pPr>
    <w:rPr>
      <w:rFonts w:ascii="Times New Roman" w:hAnsi="Times New Roman" w:eastAsia="宋体" w:cs="Times New Roman"/>
      <w:kern w:val="2"/>
      <w:sz w:val="21"/>
      <w:szCs w:val="21"/>
      <w:lang w:val="en-US" w:eastAsia="zh-CN" w:bidi="ar-SA"/>
    </w:rPr>
  </w:style>
  <w:style w:type="paragraph" w:customStyle="1" w:styleId="81">
    <w:name w:val="Revision2"/>
    <w:hidden/>
    <w:unhideWhenUsed/>
    <w:qFormat/>
    <w:uiPriority w:val="99"/>
    <w:rPr>
      <w:rFonts w:ascii="Times New Roman" w:hAnsi="Times New Roman" w:eastAsia="宋体" w:cs="Times New Roman"/>
      <w:kern w:val="2"/>
      <w:sz w:val="21"/>
      <w:lang w:val="en-US" w:eastAsia="zh-CN" w:bidi="ar-SA"/>
    </w:rPr>
  </w:style>
  <w:style w:type="character" w:customStyle="1" w:styleId="82">
    <w:name w:val="Unresolved Mention2"/>
    <w:basedOn w:val="25"/>
    <w:semiHidden/>
    <w:unhideWhenUsed/>
    <w:qFormat/>
    <w:uiPriority w:val="99"/>
    <w:rPr>
      <w:color w:val="605E5C"/>
      <w:shd w:val="clear" w:color="auto" w:fill="E1DFDD"/>
    </w:rPr>
  </w:style>
  <w:style w:type="paragraph" w:customStyle="1" w:styleId="83">
    <w:name w:val="Guidance"/>
    <w:basedOn w:val="1"/>
    <w:qFormat/>
    <w:uiPriority w:val="0"/>
    <w:pPr>
      <w:overflowPunct w:val="0"/>
      <w:autoSpaceDE w:val="0"/>
      <w:autoSpaceDN w:val="0"/>
      <w:adjustRightInd w:val="0"/>
      <w:spacing w:beforeLines="0" w:after="180" w:afterLines="0" w:line="240" w:lineRule="auto"/>
      <w:jc w:val="left"/>
    </w:pPr>
    <w:rPr>
      <w:rFonts w:eastAsia="Times New Roman"/>
      <w:i/>
      <w:color w:val="000000"/>
      <w:kern w:val="0"/>
      <w:sz w:val="20"/>
      <w:lang w:val="en-GB" w:eastAsia="ja-JP"/>
    </w:rPr>
  </w:style>
  <w:style w:type="character" w:customStyle="1" w:styleId="84">
    <w:name w:val="Doc-text2 Char"/>
    <w:link w:val="76"/>
    <w:qFormat/>
    <w:uiPriority w:val="0"/>
    <w:rPr>
      <w:kern w:val="2"/>
      <w:sz w:val="21"/>
      <w:lang w:val="en-US" w:eastAsia="zh-CN"/>
    </w:rPr>
  </w:style>
  <w:style w:type="paragraph" w:customStyle="1" w:styleId="85">
    <w:name w:val="NO"/>
    <w:basedOn w:val="1"/>
    <w:link w:val="93"/>
    <w:qFormat/>
    <w:uiPriority w:val="0"/>
    <w:pPr>
      <w:keepLines/>
      <w:overflowPunct w:val="0"/>
      <w:autoSpaceDE w:val="0"/>
      <w:autoSpaceDN w:val="0"/>
      <w:adjustRightInd w:val="0"/>
      <w:spacing w:beforeLines="0" w:after="180" w:afterLines="0" w:line="240" w:lineRule="auto"/>
      <w:ind w:left="1135" w:hanging="851"/>
      <w:jc w:val="left"/>
      <w:textAlignment w:val="baseline"/>
    </w:pPr>
    <w:rPr>
      <w:rFonts w:eastAsia="Times New Roman"/>
      <w:kern w:val="0"/>
      <w:sz w:val="20"/>
      <w:lang w:val="en-GB" w:eastAsia="en-GB"/>
    </w:rPr>
  </w:style>
  <w:style w:type="paragraph" w:customStyle="1" w:styleId="86">
    <w:name w:val="ComeBack"/>
    <w:basedOn w:val="76"/>
    <w:next w:val="76"/>
    <w:qFormat/>
    <w:uiPriority w:val="0"/>
    <w:pPr>
      <w:numPr>
        <w:ilvl w:val="0"/>
        <w:numId w:val="6"/>
      </w:numPr>
      <w:tabs>
        <w:tab w:val="clear" w:pos="1622"/>
      </w:tabs>
      <w:spacing w:beforeLines="0" w:after="0" w:afterLines="0" w:line="240" w:lineRule="auto"/>
      <w:jc w:val="left"/>
    </w:pPr>
    <w:rPr>
      <w:rFonts w:ascii="Arial" w:hAnsi="Arial" w:eastAsia="MS Mincho"/>
      <w:kern w:val="0"/>
      <w:sz w:val="20"/>
      <w:szCs w:val="24"/>
      <w:lang w:val="en-GB" w:eastAsia="en-GB"/>
    </w:rPr>
  </w:style>
  <w:style w:type="paragraph" w:customStyle="1" w:styleId="87">
    <w:name w:val="Revision3"/>
    <w:hidden/>
    <w:unhideWhenUsed/>
    <w:qFormat/>
    <w:uiPriority w:val="99"/>
    <w:rPr>
      <w:rFonts w:ascii="Times New Roman" w:hAnsi="Times New Roman" w:eastAsia="宋体" w:cs="Times New Roman"/>
      <w:kern w:val="2"/>
      <w:sz w:val="21"/>
      <w:lang w:val="en-US" w:eastAsia="zh-CN" w:bidi="ar-SA"/>
    </w:rPr>
  </w:style>
  <w:style w:type="paragraph" w:customStyle="1" w:styleId="88">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89">
    <w:name w:val="列出段落1"/>
    <w:basedOn w:val="1"/>
    <w:qFormat/>
    <w:uiPriority w:val="0"/>
    <w:pPr>
      <w:overflowPunct w:val="0"/>
      <w:autoSpaceDE w:val="0"/>
      <w:autoSpaceDN w:val="0"/>
      <w:adjustRightInd w:val="0"/>
      <w:spacing w:before="100" w:beforeLines="0" w:beforeAutospacing="1" w:after="180" w:afterLines="0" w:line="240" w:lineRule="auto"/>
      <w:ind w:left="720"/>
      <w:contextualSpacing/>
      <w:jc w:val="left"/>
      <w:textAlignment w:val="baseline"/>
    </w:pPr>
    <w:rPr>
      <w:kern w:val="0"/>
      <w:sz w:val="24"/>
      <w:szCs w:val="24"/>
    </w:rPr>
  </w:style>
  <w:style w:type="table" w:customStyle="1" w:styleId="90">
    <w:name w:val="Table Grid1"/>
    <w:basedOn w:val="23"/>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
    <w:name w:val="ZGSM"/>
    <w:qFormat/>
    <w:uiPriority w:val="0"/>
  </w:style>
  <w:style w:type="paragraph" w:customStyle="1" w:styleId="92">
    <w:name w:val="EX"/>
    <w:basedOn w:val="1"/>
    <w:qFormat/>
    <w:uiPriority w:val="0"/>
    <w:pPr>
      <w:keepLines/>
      <w:ind w:left="1702" w:hanging="1418"/>
    </w:pPr>
  </w:style>
  <w:style w:type="character" w:customStyle="1" w:styleId="93">
    <w:name w:val="NO Char"/>
    <w:link w:val="85"/>
    <w:qFormat/>
    <w:uiPriority w:val="0"/>
    <w:rPr>
      <w:rFonts w:eastAsia="Times New Roman"/>
      <w:lang w:val="en-GB" w:eastAsia="en-GB"/>
    </w:rPr>
  </w:style>
  <w:style w:type="paragraph" w:customStyle="1" w:styleId="94">
    <w:name w:val="Editor's Note"/>
    <w:basedOn w:val="85"/>
    <w:link w:val="95"/>
    <w:qFormat/>
    <w:uiPriority w:val="0"/>
    <w:pPr>
      <w:overflowPunct/>
      <w:autoSpaceDE/>
      <w:autoSpaceDN/>
      <w:adjustRightInd/>
      <w:textAlignment w:val="auto"/>
    </w:pPr>
    <w:rPr>
      <w:rFonts w:eastAsiaTheme="minorEastAsia"/>
      <w:color w:val="FF0000"/>
      <w:lang w:eastAsia="en-US"/>
    </w:rPr>
  </w:style>
  <w:style w:type="character" w:customStyle="1" w:styleId="95">
    <w:name w:val="Editor's Note Char"/>
    <w:link w:val="94"/>
    <w:qFormat/>
    <w:uiPriority w:val="0"/>
    <w:rPr>
      <w:rFonts w:eastAsiaTheme="minorEastAsia"/>
      <w:color w:val="FF0000"/>
      <w:lang w:val="en-GB" w:eastAsia="en-US"/>
    </w:rPr>
  </w:style>
  <w:style w:type="paragraph" w:customStyle="1" w:styleId="96">
    <w:name w:val="List Paragraph9"/>
    <w:basedOn w:val="1"/>
    <w:qFormat/>
    <w:uiPriority w:val="0"/>
    <w:pPr>
      <w:ind w:firstLine="420" w:firstLineChars="200"/>
    </w:pPr>
    <w:rPr>
      <w:rFonts w:cs="Times"/>
    </w:rPr>
  </w:style>
  <w:style w:type="paragraph" w:customStyle="1" w:styleId="97">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98">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4BCDD-E414-42EF-A9C0-91C1E44231E0}">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9</Pages>
  <Words>1362</Words>
  <Characters>7490</Characters>
  <Lines>140</Lines>
  <Paragraphs>39</Paragraphs>
  <TotalTime>2</TotalTime>
  <ScaleCrop>false</ScaleCrop>
  <LinksUpToDate>false</LinksUpToDate>
  <CharactersWithSpaces>8837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2025-05-29T13:06:00Z</dcterms:created>
  <dc:creator>ZTE</dc:creator>
  <cp:lastModifiedBy>ZTE,Mengzhu</cp:lastModifiedBy>
  <dcterms:modified xsi:type="dcterms:W3CDTF">2025-06-02T03:24:16Z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8CCB3CEFAF804107804D98DDA433D8B3_13</vt:lpwstr>
  </property>
  <property fmtid="{D5CDD505-2E9C-101B-9397-08002B2CF9AE}" pid="4" name="KSOTemplateDocerSaveRecord">
    <vt:lpwstr>eyJoZGlkIjoiNTA2MDIzMjk0NzI5MmEzNWQ4YmNjZGZiMjgzNzc2MDMiLCJ1c2VySWQiOiIxMDQyMjkzMzc0In0=</vt:lpwstr>
  </property>
</Properties>
</file>